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FAEFF" w14:textId="3DC99E7B" w:rsidR="00777879" w:rsidRDefault="00777879" w:rsidP="00777879">
      <w:pPr>
        <w:spacing w:after="0"/>
        <w:ind w:left="1080" w:hanging="720"/>
        <w:jc w:val="right"/>
        <w:rPr>
          <w:rFonts w:ascii="Times New Roman" w:hAnsi="Times New Roman" w:cs="Times New Roman"/>
          <w:b/>
          <w:bCs/>
          <w:sz w:val="22"/>
          <w:szCs w:val="22"/>
        </w:rPr>
      </w:pPr>
      <w:r w:rsidRPr="00EB2DC8">
        <w:rPr>
          <w:rFonts w:ascii="Times New Roman" w:hAnsi="Times New Roman" w:cs="Times New Roman"/>
          <w:b/>
          <w:bCs/>
          <w:sz w:val="22"/>
          <w:szCs w:val="22"/>
        </w:rPr>
        <w:t xml:space="preserve">KASIM 2025- </w:t>
      </w:r>
      <w:r w:rsidR="00EB2DC8" w:rsidRPr="00EB2DC8">
        <w:rPr>
          <w:rFonts w:ascii="Times New Roman" w:hAnsi="Times New Roman" w:cs="Times New Roman"/>
          <w:b/>
          <w:bCs/>
          <w:sz w:val="22"/>
          <w:szCs w:val="22"/>
        </w:rPr>
        <w:t>OCAK 2026</w:t>
      </w:r>
    </w:p>
    <w:p w14:paraId="3B7D9004" w14:textId="77777777" w:rsidR="00EB2DC8" w:rsidRPr="00EB2DC8" w:rsidRDefault="00EB2DC8" w:rsidP="00777879">
      <w:pPr>
        <w:spacing w:after="0"/>
        <w:ind w:left="1080" w:hanging="720"/>
        <w:jc w:val="right"/>
        <w:rPr>
          <w:rFonts w:ascii="Times New Roman" w:hAnsi="Times New Roman" w:cs="Times New Roman"/>
          <w:b/>
          <w:bCs/>
          <w:sz w:val="22"/>
          <w:szCs w:val="22"/>
        </w:rPr>
      </w:pPr>
    </w:p>
    <w:p w14:paraId="46E527B8" w14:textId="7E7653CC" w:rsidR="001824D6" w:rsidRPr="00EB2DC8" w:rsidRDefault="001824D6" w:rsidP="001824D6">
      <w:pPr>
        <w:pStyle w:val="ListeParagraf"/>
        <w:numPr>
          <w:ilvl w:val="0"/>
          <w:numId w:val="3"/>
        </w:numPr>
        <w:spacing w:after="0"/>
        <w:jc w:val="both"/>
        <w:rPr>
          <w:rFonts w:ascii="Times New Roman" w:hAnsi="Times New Roman" w:cs="Times New Roman"/>
          <w:b/>
          <w:bCs/>
          <w:sz w:val="22"/>
          <w:szCs w:val="22"/>
        </w:rPr>
      </w:pPr>
      <w:r w:rsidRPr="00EB2DC8">
        <w:rPr>
          <w:rFonts w:ascii="Times New Roman" w:hAnsi="Times New Roman" w:cs="Times New Roman"/>
          <w:b/>
          <w:bCs/>
          <w:sz w:val="22"/>
          <w:szCs w:val="22"/>
        </w:rPr>
        <w:t>E-TİCARET, DİJİTAL PLATFORMLAR VE TÜKETİCİ HUKUKU</w:t>
      </w:r>
    </w:p>
    <w:p w14:paraId="6031A7DE" w14:textId="77777777" w:rsidR="001824D6" w:rsidRPr="00EB2DC8" w:rsidRDefault="001824D6" w:rsidP="001824D6">
      <w:pPr>
        <w:pStyle w:val="ListeParagraf"/>
        <w:spacing w:after="0"/>
        <w:jc w:val="both"/>
        <w:rPr>
          <w:rFonts w:ascii="Times New Roman" w:hAnsi="Times New Roman" w:cs="Times New Roman"/>
          <w:b/>
          <w:bCs/>
          <w:sz w:val="22"/>
          <w:szCs w:val="22"/>
        </w:rPr>
      </w:pPr>
    </w:p>
    <w:p w14:paraId="029C86D6" w14:textId="440ACE0D" w:rsidR="00254A56" w:rsidRPr="00EB2DC8" w:rsidRDefault="00777879" w:rsidP="00777879">
      <w:pPr>
        <w:pStyle w:val="ListeParagraf"/>
        <w:spacing w:after="0"/>
        <w:jc w:val="right"/>
        <w:rPr>
          <w:rFonts w:ascii="Times New Roman" w:hAnsi="Times New Roman" w:cs="Times New Roman"/>
          <w:b/>
          <w:bCs/>
          <w:sz w:val="22"/>
          <w:szCs w:val="22"/>
        </w:rPr>
      </w:pPr>
      <w:r w:rsidRPr="00EB2DC8">
        <w:rPr>
          <w:rFonts w:ascii="Times New Roman" w:hAnsi="Times New Roman" w:cs="Times New Roman"/>
          <w:b/>
          <w:bCs/>
          <w:sz w:val="22"/>
          <w:szCs w:val="22"/>
        </w:rPr>
        <w:t>5 KASIM 2025</w:t>
      </w:r>
    </w:p>
    <w:p w14:paraId="6C01CA4F" w14:textId="77777777" w:rsidR="001824D6" w:rsidRPr="00EB2DC8" w:rsidRDefault="001824D6" w:rsidP="001824D6">
      <w:pPr>
        <w:numPr>
          <w:ilvl w:val="0"/>
          <w:numId w:val="1"/>
        </w:numPr>
        <w:tabs>
          <w:tab w:val="clear" w:pos="720"/>
          <w:tab w:val="num" w:pos="567"/>
        </w:tabs>
        <w:spacing w:after="0" w:line="276" w:lineRule="auto"/>
        <w:ind w:left="0"/>
        <w:jc w:val="both"/>
        <w:rPr>
          <w:rFonts w:ascii="Times New Roman" w:hAnsi="Times New Roman" w:cs="Times New Roman"/>
          <w:b/>
          <w:bCs/>
          <w:sz w:val="22"/>
          <w:szCs w:val="22"/>
        </w:rPr>
      </w:pPr>
      <w:r w:rsidRPr="00EB2DC8">
        <w:rPr>
          <w:rFonts w:ascii="Times New Roman" w:hAnsi="Times New Roman" w:cs="Times New Roman"/>
          <w:b/>
          <w:bCs/>
          <w:sz w:val="22"/>
          <w:szCs w:val="22"/>
        </w:rPr>
        <w:t xml:space="preserve">SATICININ ELEKTRONİK TİCARET MEVZUATI KAPSAMINDA YÜKÜMLÜLÜKLERİ </w:t>
      </w:r>
    </w:p>
    <w:p w14:paraId="7A8B6A89" w14:textId="77777777" w:rsidR="00726D75" w:rsidRPr="00EB2DC8" w:rsidRDefault="00726D75" w:rsidP="00726D75">
      <w:pPr>
        <w:tabs>
          <w:tab w:val="num" w:pos="567"/>
        </w:tabs>
        <w:spacing w:after="0" w:line="276" w:lineRule="auto"/>
        <w:jc w:val="both"/>
        <w:rPr>
          <w:rFonts w:ascii="Times New Roman" w:hAnsi="Times New Roman" w:cs="Times New Roman"/>
          <w:sz w:val="22"/>
          <w:szCs w:val="22"/>
        </w:rPr>
      </w:pPr>
    </w:p>
    <w:p w14:paraId="1C34B9D9" w14:textId="77777777" w:rsidR="00726D75" w:rsidRPr="00EB2DC8" w:rsidRDefault="00726D75" w:rsidP="00726D75">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Elektronik ticaret, özellikle pandemi sonrası dönemde klasik ticaret biçimlerinin çok ötesine geçmiş; bireylerin ve şirketlerin dijital ortamlarda mal ve hizmet alım satımı yapmasını mümkün kılan dinamik bir ekosistem haline gelmiştir. Bu gelişme, tüketicinin korunması, veri güvenliği ve ticari şeffaflık gibi konularda yeni hukuki düzenlemeleri de beraberinde getirmiştir. Türkiye’de e-ticaret alanındaki temel yasal çerçeve, Elektronik Ticaretin Düzenlenmesi Hakkında Kanun (“</w:t>
      </w:r>
      <w:r w:rsidRPr="00EB2DC8">
        <w:rPr>
          <w:rFonts w:ascii="Times New Roman" w:hAnsi="Times New Roman" w:cs="Times New Roman"/>
          <w:b/>
          <w:bCs/>
          <w:color w:val="000000" w:themeColor="text1"/>
          <w:sz w:val="22"/>
          <w:szCs w:val="22"/>
        </w:rPr>
        <w:t>E-Ticaret Kanunu</w:t>
      </w:r>
      <w:r w:rsidRPr="00EB2DC8">
        <w:rPr>
          <w:rFonts w:ascii="Times New Roman" w:hAnsi="Times New Roman" w:cs="Times New Roman"/>
          <w:color w:val="000000" w:themeColor="text1"/>
          <w:sz w:val="22"/>
          <w:szCs w:val="22"/>
        </w:rPr>
        <w:t>”) ile belirlenmiştir. Bu Kanun, e-ticaret faaliyetinde bulunan satıcılar ve aracı hizmet sağlayıcılar için birtakım açık yükümlülükler getirmektedir. Ayrıca Türk hukukunda tüketici ve satıcı arasında internet ortamında yapılan satışlar bakımından genel anlamda tüketici ve satıcıların hak ve yükümlülükleri, en başta (i) Tüketicinin Korunması Hakkında Kanun (“</w:t>
      </w:r>
      <w:r w:rsidRPr="00EB2DC8">
        <w:rPr>
          <w:rFonts w:ascii="Times New Roman" w:hAnsi="Times New Roman" w:cs="Times New Roman"/>
          <w:b/>
          <w:bCs/>
          <w:color w:val="000000" w:themeColor="text1"/>
          <w:sz w:val="22"/>
          <w:szCs w:val="22"/>
        </w:rPr>
        <w:t>TKHK</w:t>
      </w:r>
      <w:r w:rsidRPr="00EB2DC8">
        <w:rPr>
          <w:rFonts w:ascii="Times New Roman" w:hAnsi="Times New Roman" w:cs="Times New Roman"/>
          <w:color w:val="000000" w:themeColor="text1"/>
          <w:sz w:val="22"/>
          <w:szCs w:val="22"/>
        </w:rPr>
        <w:t>”), (ii) Mesafeli Sözleşmeler Yönetmeliği (“</w:t>
      </w:r>
      <w:r w:rsidRPr="00EB2DC8">
        <w:rPr>
          <w:rFonts w:ascii="Times New Roman" w:hAnsi="Times New Roman" w:cs="Times New Roman"/>
          <w:b/>
          <w:bCs/>
          <w:color w:val="000000" w:themeColor="text1"/>
          <w:sz w:val="22"/>
          <w:szCs w:val="22"/>
        </w:rPr>
        <w:t>Yönetmelik</w:t>
      </w:r>
      <w:r w:rsidRPr="00EB2DC8">
        <w:rPr>
          <w:rFonts w:ascii="Times New Roman" w:hAnsi="Times New Roman" w:cs="Times New Roman"/>
          <w:color w:val="000000" w:themeColor="text1"/>
          <w:sz w:val="22"/>
          <w:szCs w:val="22"/>
        </w:rPr>
        <w:t>”) ve (iii) Elektronik Ticarette Hizmet Sağlayıcı ve Aracı Hizmet Sağlayıcılar Hakkında Yönetmelik ile düzenlenmiştir.</w:t>
      </w:r>
    </w:p>
    <w:p w14:paraId="2DCA7ACC" w14:textId="77777777" w:rsidR="00726D75" w:rsidRPr="00EB2DC8" w:rsidRDefault="00726D75" w:rsidP="00726D75">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İşbu makalede, doğrudan satıcı sıfatıyla e-ticaret faaliyetinde bulunan işletmelerin yukarıda belirtilen mevzuat kapsamındaki temel yükümlülükleri ele alınmaktadır.</w:t>
      </w:r>
    </w:p>
    <w:p w14:paraId="4BD5AA18" w14:textId="77777777" w:rsidR="00726D75" w:rsidRPr="00EB2DC8" w:rsidRDefault="00726D75" w:rsidP="00726D75">
      <w:pPr>
        <w:numPr>
          <w:ilvl w:val="0"/>
          <w:numId w:val="6"/>
        </w:numPr>
        <w:jc w:val="both"/>
        <w:rPr>
          <w:rFonts w:ascii="Times New Roman" w:hAnsi="Times New Roman" w:cs="Times New Roman"/>
          <w:b/>
          <w:bCs/>
          <w:color w:val="000000" w:themeColor="text1"/>
          <w:sz w:val="22"/>
          <w:szCs w:val="22"/>
        </w:rPr>
      </w:pPr>
      <w:r w:rsidRPr="00EB2DC8">
        <w:rPr>
          <w:rFonts w:ascii="Times New Roman" w:hAnsi="Times New Roman" w:cs="Times New Roman"/>
          <w:b/>
          <w:bCs/>
          <w:color w:val="000000" w:themeColor="text1"/>
          <w:sz w:val="22"/>
          <w:szCs w:val="22"/>
        </w:rPr>
        <w:t>Bilgilendirme Yükümlülüğü</w:t>
      </w:r>
    </w:p>
    <w:p w14:paraId="5EEB2738" w14:textId="77777777" w:rsidR="00726D75" w:rsidRPr="00EB2DC8" w:rsidRDefault="00726D75" w:rsidP="00726D75">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E-ticaretin doğası gereği tüketici ile satıcı fiziksel olarak bir araya gelmez. Bu nedenle ön bilgilendirme yükümlülüğü Kanun’un en temel ilkelerinden biridir.</w:t>
      </w:r>
    </w:p>
    <w:p w14:paraId="7E4C7AA3" w14:textId="77777777" w:rsidR="00726D75" w:rsidRPr="00EB2DC8" w:rsidRDefault="00726D75" w:rsidP="00726D75">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Satıcı, web sitesinde veya mobil uygulamasında;</w:t>
      </w:r>
    </w:p>
    <w:p w14:paraId="5709C39D" w14:textId="77777777" w:rsidR="00726D75" w:rsidRPr="00EB2DC8" w:rsidRDefault="00726D75" w:rsidP="00726D75">
      <w:pPr>
        <w:numPr>
          <w:ilvl w:val="0"/>
          <w:numId w:val="7"/>
        </w:num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Sözleşme konusu mal veya hizmetin temel nitelikleri,</w:t>
      </w:r>
    </w:p>
    <w:p w14:paraId="2CA23661" w14:textId="77777777" w:rsidR="00726D75" w:rsidRPr="00EB2DC8" w:rsidRDefault="00726D75" w:rsidP="00726D75">
      <w:pPr>
        <w:numPr>
          <w:ilvl w:val="0"/>
          <w:numId w:val="7"/>
        </w:num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Satıcı adı, unvanı, varsa MERSİS numarası, açık adresi, telefon numarası, varsa satıcının adına ya da hesabına hareket edenin kimliği ve adresi,</w:t>
      </w:r>
    </w:p>
    <w:p w14:paraId="660CE0A2" w14:textId="77777777" w:rsidR="00726D75" w:rsidRPr="00EB2DC8" w:rsidRDefault="00726D75" w:rsidP="00726D75">
      <w:pPr>
        <w:numPr>
          <w:ilvl w:val="0"/>
          <w:numId w:val="7"/>
        </w:num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Mal veya hizmetin tüm vergiler dahil toplam fiyatı, önceden hesaplanamıyorsa fiyatının hesaplanma usulü, varsa tüm nakliye, teslim vb. ek masraflar ile bunların önceden hesaplanamaması halinde ek masrafların ödenebileceği bilgisi,</w:t>
      </w:r>
    </w:p>
    <w:p w14:paraId="171285F0" w14:textId="77777777" w:rsidR="00726D75" w:rsidRPr="00EB2DC8" w:rsidRDefault="00726D75" w:rsidP="00726D75">
      <w:pPr>
        <w:numPr>
          <w:ilvl w:val="0"/>
          <w:numId w:val="7"/>
        </w:num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Sözleşmenin kurulması aşamasında uzaktan iletişim aracının kullanım bedelinin olağan ücret tarifesi üzerinden hesaplanamadığı durumlarda, tüketicilere yüklenen ilave maliyet,</w:t>
      </w:r>
    </w:p>
    <w:p w14:paraId="3CA90EEC" w14:textId="77777777" w:rsidR="00726D75" w:rsidRPr="00EB2DC8" w:rsidRDefault="00726D75" w:rsidP="00726D75">
      <w:pPr>
        <w:numPr>
          <w:ilvl w:val="0"/>
          <w:numId w:val="7"/>
        </w:num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Ödeme, teslimat, ifaya ilişkin bilgiler, varsa bunlara ilişkin taahhütler ve satıcının şikayetlere ilişkin çözüm yöntemleri,</w:t>
      </w:r>
    </w:p>
    <w:p w14:paraId="3CAE3932" w14:textId="77777777" w:rsidR="00726D75" w:rsidRPr="00EB2DC8" w:rsidRDefault="00726D75" w:rsidP="00726D75">
      <w:pPr>
        <w:numPr>
          <w:ilvl w:val="0"/>
          <w:numId w:val="7"/>
        </w:num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Cayma hakkının kullanılma şartları, süresi, usulü ve satıcının iade için öngördüğü taşıyıcıya ilişkin bilgiler ve cayma bildiriminin yapılacağı açık adres, faks numarası veya elektronik posta bilgileri, cayma hakkının kullanılamadığı durumlarda, tüketicinin cayma hakkından faydalanamayacağına ya da hangi koşullarda cayma hakkını kaybedeceğine ilişkin bilgi,</w:t>
      </w:r>
    </w:p>
    <w:p w14:paraId="02D4F541" w14:textId="77777777" w:rsidR="00726D75" w:rsidRPr="00EB2DC8" w:rsidRDefault="00726D75" w:rsidP="00726D75">
      <w:pPr>
        <w:numPr>
          <w:ilvl w:val="0"/>
          <w:numId w:val="7"/>
        </w:num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Satıcı veya sağlayıcının talebi üzerine, varsa tüketici tarafından ödenmesi veya sağlanması gereken depozitolar ya da diğer mali teminatlar ve bunlara ilişkin şartlar</w:t>
      </w:r>
    </w:p>
    <w:p w14:paraId="3ED17A08" w14:textId="77777777" w:rsidR="00726D75" w:rsidRPr="00EB2DC8" w:rsidRDefault="00726D75" w:rsidP="00726D75">
      <w:pPr>
        <w:numPr>
          <w:ilvl w:val="0"/>
          <w:numId w:val="7"/>
        </w:num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Ürün / hizmetin nasıl korunacağı, kullanılacağı ve varsa bunlara ilişkin teknik bilgiler,</w:t>
      </w:r>
    </w:p>
    <w:p w14:paraId="05436053" w14:textId="77777777" w:rsidR="00726D75" w:rsidRPr="00EB2DC8" w:rsidRDefault="00726D75" w:rsidP="00726D75">
      <w:pPr>
        <w:numPr>
          <w:ilvl w:val="0"/>
          <w:numId w:val="7"/>
        </w:num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lastRenderedPageBreak/>
        <w:t>Tüketicilerin uyuşmazlık konusundaki başvurularını Tüketici Mahkemesine veya Tüketici Hakem Heyetine yapabileceklerine dair bilgi.</w:t>
      </w:r>
    </w:p>
    <w:p w14:paraId="04D30B5A" w14:textId="77777777" w:rsidR="00726D75" w:rsidRPr="00EB2DC8" w:rsidRDefault="00726D75" w:rsidP="00726D75">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Ayrıca, Ticari İletişim ve Ticari Elektronik İletiler Hakkında Yönetmelik uyarınca satıcının e-posta veya SMS yoluyla tanıtım yapabilmesi, alıcının önceden açık rızasına bağlıdır. Bu rızaların kayıt altına alınması, gerektiğinde ispat yükümlülüğü satıcıya aittir.</w:t>
      </w:r>
    </w:p>
    <w:p w14:paraId="2F671BD7" w14:textId="77777777" w:rsidR="00726D75" w:rsidRPr="00EB2DC8" w:rsidRDefault="00726D75" w:rsidP="00726D75">
      <w:pPr>
        <w:numPr>
          <w:ilvl w:val="0"/>
          <w:numId w:val="6"/>
        </w:numPr>
        <w:jc w:val="both"/>
        <w:rPr>
          <w:rFonts w:ascii="Times New Roman" w:hAnsi="Times New Roman" w:cs="Times New Roman"/>
          <w:b/>
          <w:bCs/>
          <w:color w:val="000000" w:themeColor="text1"/>
          <w:sz w:val="22"/>
          <w:szCs w:val="22"/>
        </w:rPr>
      </w:pPr>
      <w:r w:rsidRPr="00EB2DC8">
        <w:rPr>
          <w:rFonts w:ascii="Times New Roman" w:hAnsi="Times New Roman" w:cs="Times New Roman"/>
          <w:b/>
          <w:bCs/>
          <w:color w:val="000000" w:themeColor="text1"/>
          <w:sz w:val="22"/>
          <w:szCs w:val="22"/>
        </w:rPr>
        <w:t xml:space="preserve"> Sipariş Sürecine ve Sözleşmeye İlişkin Yükümlülükler</w:t>
      </w:r>
    </w:p>
    <w:p w14:paraId="21A3DE06" w14:textId="77777777" w:rsidR="00726D75" w:rsidRPr="00EB2DC8" w:rsidRDefault="00726D75" w:rsidP="00726D75">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Satıcı, elektronik ortamda kurulan sözleşmelerin geçerli olabilmesi için tüketicinin sipariş vermeden önce bilgilendirildiğini ve siparişi onayladığını ispat etmekle yükümlüdür.</w:t>
      </w:r>
      <w:r w:rsidRPr="00EB2DC8">
        <w:rPr>
          <w:rFonts w:ascii="Times New Roman" w:hAnsi="Times New Roman" w:cs="Times New Roman"/>
          <w:color w:val="000000" w:themeColor="text1"/>
          <w:sz w:val="22"/>
          <w:szCs w:val="22"/>
        </w:rPr>
        <w:br/>
        <w:t>Bu kapsamda:</w:t>
      </w:r>
    </w:p>
    <w:p w14:paraId="26895AA2" w14:textId="77777777" w:rsidR="00726D75" w:rsidRPr="00EB2DC8" w:rsidRDefault="00726D75" w:rsidP="00726D75">
      <w:pPr>
        <w:numPr>
          <w:ilvl w:val="0"/>
          <w:numId w:val="4"/>
        </w:num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Siparişin onaylandığına dair otomatik bir teyit bildirimi alıcıya iletilmelidir.</w:t>
      </w:r>
    </w:p>
    <w:p w14:paraId="7E66B324" w14:textId="77777777" w:rsidR="00726D75" w:rsidRPr="00EB2DC8" w:rsidRDefault="00726D75" w:rsidP="00726D75">
      <w:pPr>
        <w:numPr>
          <w:ilvl w:val="0"/>
          <w:numId w:val="4"/>
        </w:num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Satıcı, siparişin alındığına dair kayıtları en az üç yıl süreyle saklamak zorundadır.</w:t>
      </w:r>
    </w:p>
    <w:p w14:paraId="44F3786B" w14:textId="77777777" w:rsidR="00726D75" w:rsidRPr="00EB2DC8" w:rsidRDefault="00726D75" w:rsidP="00726D75">
      <w:pPr>
        <w:numPr>
          <w:ilvl w:val="0"/>
          <w:numId w:val="4"/>
        </w:num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Cayma hakkı kapsamında, alıcının ürünü iade etmesi durumunda bedel iadesi, iade bildiriminin satıcıya ulaşmasından itibaren en geç 14 gün içinde yapılmalıdır.</w:t>
      </w:r>
    </w:p>
    <w:p w14:paraId="4B5F82F4" w14:textId="77777777" w:rsidR="00726D75" w:rsidRPr="00EB2DC8" w:rsidRDefault="00726D75" w:rsidP="00726D75">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Bunların yanı sıra, satış platformu aracılığıyla işlem yapan satıcıların aracı hizmet sağlayıcılara doğru ve güncel bilgi vermesi; yanıltıcı tanıtım, sahte indirim veya manipülatif puanlama uygulamalarından kaçınması gerekmektedir. Bu tür eylemler, haksız ticari uygulama olarak kabul edilmekte ve idari para cezasına yol açmaktadır.</w:t>
      </w:r>
    </w:p>
    <w:p w14:paraId="2A2F9B91" w14:textId="77777777" w:rsidR="00726D75" w:rsidRPr="00EB2DC8" w:rsidRDefault="00726D75" w:rsidP="00726D75">
      <w:pPr>
        <w:numPr>
          <w:ilvl w:val="0"/>
          <w:numId w:val="6"/>
        </w:numPr>
        <w:jc w:val="both"/>
        <w:rPr>
          <w:rFonts w:ascii="Times New Roman" w:hAnsi="Times New Roman" w:cs="Times New Roman"/>
          <w:b/>
          <w:bCs/>
          <w:color w:val="000000" w:themeColor="text1"/>
          <w:sz w:val="22"/>
          <w:szCs w:val="22"/>
        </w:rPr>
      </w:pPr>
      <w:r w:rsidRPr="00EB2DC8">
        <w:rPr>
          <w:rFonts w:ascii="Times New Roman" w:hAnsi="Times New Roman" w:cs="Times New Roman"/>
          <w:b/>
          <w:bCs/>
          <w:color w:val="000000" w:themeColor="text1"/>
          <w:sz w:val="22"/>
          <w:szCs w:val="22"/>
        </w:rPr>
        <w:t xml:space="preserve"> Veri Koruma ve Güvenlik Yükümlülüğü</w:t>
      </w:r>
    </w:p>
    <w:p w14:paraId="7F6FC3BE" w14:textId="77777777" w:rsidR="00726D75" w:rsidRPr="00EB2DC8" w:rsidRDefault="00726D75" w:rsidP="00726D75">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E-ticaretin en hassas noktalarından biri, kişisel verilerin korunmasıdır. Satıcı, yukarıda belirtilen mevzuatların yanı sıra 6698 sayılı Kişisel Verilerin Korunması Kanunu</w:t>
      </w:r>
      <w:r w:rsidRPr="00EB2DC8">
        <w:rPr>
          <w:rFonts w:ascii="Times New Roman" w:hAnsi="Times New Roman" w:cs="Times New Roman"/>
          <w:b/>
          <w:bCs/>
          <w:color w:val="000000" w:themeColor="text1"/>
          <w:sz w:val="22"/>
          <w:szCs w:val="22"/>
        </w:rPr>
        <w:t xml:space="preserve"> (“KVKK”)</w:t>
      </w:r>
      <w:r w:rsidRPr="00EB2DC8">
        <w:rPr>
          <w:rFonts w:ascii="Times New Roman" w:hAnsi="Times New Roman" w:cs="Times New Roman"/>
          <w:color w:val="000000" w:themeColor="text1"/>
          <w:sz w:val="22"/>
          <w:szCs w:val="22"/>
        </w:rPr>
        <w:t xml:space="preserve"> uyarınca da sorumluluk altındadır. Buna göre satıcı;</w:t>
      </w:r>
    </w:p>
    <w:p w14:paraId="7DB54775" w14:textId="77777777" w:rsidR="00726D75" w:rsidRPr="00EB2DC8" w:rsidRDefault="00726D75" w:rsidP="00726D75">
      <w:pPr>
        <w:numPr>
          <w:ilvl w:val="0"/>
          <w:numId w:val="5"/>
        </w:num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Müşteri verilerini sadece işin gerektirdiği ölçüde toplamalı,</w:t>
      </w:r>
    </w:p>
    <w:p w14:paraId="2E834206" w14:textId="77777777" w:rsidR="00726D75" w:rsidRPr="00EB2DC8" w:rsidRDefault="00726D75" w:rsidP="00726D75">
      <w:pPr>
        <w:numPr>
          <w:ilvl w:val="0"/>
          <w:numId w:val="5"/>
        </w:num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Bu verileri yetkisiz kişilerin erişimine karşı koruyacak teknik ve idari tedbirleri almalı,</w:t>
      </w:r>
    </w:p>
    <w:p w14:paraId="7C88B705" w14:textId="77777777" w:rsidR="00726D75" w:rsidRPr="00EB2DC8" w:rsidRDefault="00726D75" w:rsidP="00726D75">
      <w:pPr>
        <w:numPr>
          <w:ilvl w:val="0"/>
          <w:numId w:val="5"/>
        </w:num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Verilerin üçüncü kişilere aktarımı halinde ilgili kişinin açık rızasını temin etmelidir.</w:t>
      </w:r>
    </w:p>
    <w:p w14:paraId="23E228AA" w14:textId="77777777" w:rsidR="00726D75" w:rsidRPr="00EB2DC8" w:rsidRDefault="00726D75" w:rsidP="00726D75">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Ayrıca, kredi kartı veya ödeme bilgileri içeren işlemler, PCI-DSS gibi uluslararası güvenlik standartlarına uygun altyapılarda yapılmalı ve ödeme hizmetleri, 6493 sayılı Ödeme Hizmetleri ve Elektronik Para Kanunu kapsamındaki lisanslı kuruluşlar aracılığıyla gerçekleştirilmelidir.</w:t>
      </w:r>
    </w:p>
    <w:p w14:paraId="363EC053" w14:textId="77777777" w:rsidR="00726D75" w:rsidRPr="00EB2DC8" w:rsidRDefault="00726D75" w:rsidP="00726D75">
      <w:pPr>
        <w:numPr>
          <w:ilvl w:val="0"/>
          <w:numId w:val="6"/>
        </w:numPr>
        <w:jc w:val="both"/>
        <w:rPr>
          <w:rFonts w:ascii="Times New Roman" w:hAnsi="Times New Roman" w:cs="Times New Roman"/>
          <w:b/>
          <w:bCs/>
          <w:color w:val="000000" w:themeColor="text1"/>
          <w:sz w:val="22"/>
          <w:szCs w:val="22"/>
        </w:rPr>
      </w:pPr>
      <w:r w:rsidRPr="00EB2DC8">
        <w:rPr>
          <w:rFonts w:ascii="Times New Roman" w:hAnsi="Times New Roman" w:cs="Times New Roman"/>
          <w:b/>
          <w:bCs/>
          <w:color w:val="000000" w:themeColor="text1"/>
          <w:sz w:val="22"/>
          <w:szCs w:val="22"/>
        </w:rPr>
        <w:t>Sonuç ve Değerlendirme</w:t>
      </w:r>
    </w:p>
    <w:p w14:paraId="2064FD55" w14:textId="77777777" w:rsidR="00726D75" w:rsidRPr="00EB2DC8" w:rsidRDefault="00726D75" w:rsidP="00726D75">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E-ticaret satıcıları için dijitalleşme, yalnızca yeni satış kanalları değil, aynı zamanda yeni sorumluluklar anlamına gelmektedir. Bu sebeple yukarıda belirtilen mevzuatlar ile şeffaflık, güvenlik ve tüketici menfaatini koruma ilkeleri üzerine kuruludur. Bu yükümlülüklere uyulmaması halinde, Ticaret Bakanlığı tarafından değişen idari para cezaları uygulanabilir.</w:t>
      </w:r>
    </w:p>
    <w:p w14:paraId="5D575CCD" w14:textId="77777777" w:rsidR="00726D75" w:rsidRPr="00EB2DC8" w:rsidRDefault="00726D75" w:rsidP="00726D75">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Dolayısıyla, satıcıların faaliyetlerini yalnızca ticari başarı perspektifinden değil; hukuki uyum (</w:t>
      </w:r>
      <w:proofErr w:type="spellStart"/>
      <w:r w:rsidRPr="00EB2DC8">
        <w:rPr>
          <w:rFonts w:ascii="Times New Roman" w:hAnsi="Times New Roman" w:cs="Times New Roman"/>
          <w:color w:val="000000" w:themeColor="text1"/>
          <w:sz w:val="22"/>
          <w:szCs w:val="22"/>
        </w:rPr>
        <w:t>compliance</w:t>
      </w:r>
      <w:proofErr w:type="spellEnd"/>
      <w:r w:rsidRPr="00EB2DC8">
        <w:rPr>
          <w:rFonts w:ascii="Times New Roman" w:hAnsi="Times New Roman" w:cs="Times New Roman"/>
          <w:color w:val="000000" w:themeColor="text1"/>
          <w:sz w:val="22"/>
          <w:szCs w:val="22"/>
        </w:rPr>
        <w:t>) perspektifinden de yürütmeleri zorunludur.</w:t>
      </w:r>
      <w:r w:rsidRPr="00EB2DC8">
        <w:rPr>
          <w:rFonts w:ascii="Times New Roman" w:hAnsi="Times New Roman" w:cs="Times New Roman"/>
          <w:color w:val="000000" w:themeColor="text1"/>
          <w:sz w:val="22"/>
          <w:szCs w:val="22"/>
        </w:rPr>
        <w:br/>
        <w:t>Bu da ancak, satıcıların mevzuatı yakından takip etmeleri, veri güvenliği süreçlerini güçlendirmeleri ve şeffaf iletişim politikaları benimsemeleriyle mümkündür.</w:t>
      </w:r>
    </w:p>
    <w:p w14:paraId="6DC43BBD" w14:textId="77777777" w:rsidR="00726D75" w:rsidRPr="00EB2DC8" w:rsidRDefault="00726D75" w:rsidP="00726D75">
      <w:pPr>
        <w:tabs>
          <w:tab w:val="num" w:pos="567"/>
        </w:tabs>
        <w:spacing w:after="0" w:line="276" w:lineRule="auto"/>
        <w:jc w:val="both"/>
        <w:rPr>
          <w:rFonts w:ascii="Times New Roman" w:hAnsi="Times New Roman" w:cs="Times New Roman"/>
          <w:sz w:val="22"/>
          <w:szCs w:val="22"/>
        </w:rPr>
      </w:pPr>
    </w:p>
    <w:p w14:paraId="7A21235C" w14:textId="77777777" w:rsidR="00726D75" w:rsidRPr="00EB2DC8" w:rsidRDefault="00726D75" w:rsidP="00726D75">
      <w:pPr>
        <w:tabs>
          <w:tab w:val="num" w:pos="567"/>
        </w:tabs>
        <w:spacing w:after="0" w:line="276" w:lineRule="auto"/>
        <w:jc w:val="both"/>
        <w:rPr>
          <w:rFonts w:ascii="Times New Roman" w:hAnsi="Times New Roman" w:cs="Times New Roman"/>
          <w:sz w:val="22"/>
          <w:szCs w:val="22"/>
        </w:rPr>
      </w:pPr>
    </w:p>
    <w:p w14:paraId="65328724" w14:textId="77777777" w:rsidR="00726D75" w:rsidRPr="00EB2DC8" w:rsidRDefault="00726D75" w:rsidP="00726D75">
      <w:pPr>
        <w:tabs>
          <w:tab w:val="num" w:pos="567"/>
        </w:tabs>
        <w:spacing w:after="0" w:line="276" w:lineRule="auto"/>
        <w:jc w:val="both"/>
        <w:rPr>
          <w:rFonts w:ascii="Times New Roman" w:hAnsi="Times New Roman" w:cs="Times New Roman"/>
          <w:sz w:val="22"/>
          <w:szCs w:val="22"/>
        </w:rPr>
      </w:pPr>
    </w:p>
    <w:p w14:paraId="2CB4D51A" w14:textId="08BCA8A2" w:rsidR="00726D75" w:rsidRPr="00EB2DC8" w:rsidRDefault="00E34475" w:rsidP="00E34475">
      <w:pPr>
        <w:tabs>
          <w:tab w:val="num" w:pos="567"/>
        </w:tabs>
        <w:spacing w:after="0" w:line="276" w:lineRule="auto"/>
        <w:jc w:val="right"/>
        <w:rPr>
          <w:rFonts w:ascii="Times New Roman" w:hAnsi="Times New Roman" w:cs="Times New Roman"/>
          <w:b/>
          <w:bCs/>
          <w:sz w:val="22"/>
          <w:szCs w:val="22"/>
        </w:rPr>
      </w:pPr>
      <w:r w:rsidRPr="00EB2DC8">
        <w:rPr>
          <w:rFonts w:ascii="Times New Roman" w:hAnsi="Times New Roman" w:cs="Times New Roman"/>
          <w:b/>
          <w:bCs/>
          <w:sz w:val="22"/>
          <w:szCs w:val="22"/>
        </w:rPr>
        <w:t>12 KASIM 2025</w:t>
      </w:r>
    </w:p>
    <w:p w14:paraId="1BBB30A9" w14:textId="77777777" w:rsidR="001824D6" w:rsidRPr="00EB2DC8" w:rsidRDefault="001824D6" w:rsidP="001824D6">
      <w:pPr>
        <w:numPr>
          <w:ilvl w:val="0"/>
          <w:numId w:val="1"/>
        </w:numPr>
        <w:tabs>
          <w:tab w:val="clear" w:pos="720"/>
          <w:tab w:val="num" w:pos="567"/>
        </w:tabs>
        <w:spacing w:after="0" w:line="276" w:lineRule="auto"/>
        <w:ind w:left="0"/>
        <w:jc w:val="both"/>
        <w:rPr>
          <w:rFonts w:ascii="Times New Roman" w:hAnsi="Times New Roman" w:cs="Times New Roman"/>
          <w:b/>
          <w:bCs/>
          <w:sz w:val="22"/>
          <w:szCs w:val="22"/>
        </w:rPr>
      </w:pPr>
      <w:r w:rsidRPr="00EB2DC8">
        <w:rPr>
          <w:rFonts w:ascii="Times New Roman" w:hAnsi="Times New Roman" w:cs="Times New Roman"/>
          <w:b/>
          <w:bCs/>
          <w:sz w:val="22"/>
          <w:szCs w:val="22"/>
        </w:rPr>
        <w:t xml:space="preserve">SATICININ E-TİCARET MEVZUATLARI KAPSAMINDAKİ YÜKÜMLÜLÜKLERİ – 2. KISIM TÜKETİCİ BİLGİLENDİRME YÜKÜMLÜLÜKLERİ: AÇIK VE ANLAŞILIR OLMAK </w:t>
      </w:r>
    </w:p>
    <w:p w14:paraId="4F56A82C" w14:textId="77777777" w:rsidR="00057CE7" w:rsidRPr="00EB2DC8" w:rsidRDefault="00057CE7" w:rsidP="00057CE7">
      <w:pPr>
        <w:tabs>
          <w:tab w:val="num" w:pos="567"/>
        </w:tabs>
        <w:spacing w:after="0" w:line="276" w:lineRule="auto"/>
        <w:jc w:val="both"/>
        <w:rPr>
          <w:rFonts w:ascii="Times New Roman" w:hAnsi="Times New Roman" w:cs="Times New Roman"/>
          <w:b/>
          <w:bCs/>
          <w:sz w:val="22"/>
          <w:szCs w:val="22"/>
        </w:rPr>
      </w:pPr>
    </w:p>
    <w:p w14:paraId="29071754" w14:textId="18D41588" w:rsidR="00057CE7" w:rsidRPr="00EB2DC8" w:rsidRDefault="00057CE7" w:rsidP="00057CE7">
      <w:pPr>
        <w:jc w:val="both"/>
        <w:rPr>
          <w:rFonts w:ascii="Times New Roman" w:hAnsi="Times New Roman" w:cs="Times New Roman"/>
          <w:sz w:val="22"/>
          <w:szCs w:val="22"/>
        </w:rPr>
      </w:pPr>
      <w:r w:rsidRPr="00EB2DC8">
        <w:rPr>
          <w:rFonts w:ascii="Times New Roman" w:hAnsi="Times New Roman" w:cs="Times New Roman"/>
          <w:sz w:val="22"/>
          <w:szCs w:val="22"/>
        </w:rPr>
        <w:t>Elektronik ticaretin hızla yaygınlaşmasıyla birlikte, tüketicinin korunması ihtiyacı da dijital ortamda yeni bir boyut kazanmıştır. Fiziksel temasın bulunmadığı bu alanda tüketici, mal veya hizmet hakkında sahip olduğu bilgiye dayanarak karar verir. Dolayısıyla, satıcının sunduğu bilginin açık, anlaşılır, doğru ve erişilebilir olması yalnızca etik bir gereklilik değil, aynı zamanda kanuni bir yükümlülük haline gelmiştir.</w:t>
      </w:r>
    </w:p>
    <w:p w14:paraId="1016BC99" w14:textId="77777777" w:rsidR="00057CE7" w:rsidRPr="00EB2DC8" w:rsidRDefault="00057CE7" w:rsidP="00057CE7">
      <w:pPr>
        <w:jc w:val="both"/>
        <w:rPr>
          <w:rFonts w:ascii="Times New Roman" w:hAnsi="Times New Roman" w:cs="Times New Roman"/>
          <w:sz w:val="22"/>
          <w:szCs w:val="22"/>
        </w:rPr>
      </w:pPr>
      <w:r w:rsidRPr="00EB2DC8">
        <w:rPr>
          <w:rFonts w:ascii="Times New Roman" w:hAnsi="Times New Roman" w:cs="Times New Roman"/>
          <w:sz w:val="22"/>
          <w:szCs w:val="22"/>
        </w:rPr>
        <w:t>Türk hukukunda bu yükümlülüğün temelini Elektronik Ticaretin Düzenlenmesi Hakkında Kanun (“</w:t>
      </w:r>
      <w:r w:rsidRPr="00EB2DC8">
        <w:rPr>
          <w:rFonts w:ascii="Times New Roman" w:hAnsi="Times New Roman" w:cs="Times New Roman"/>
          <w:b/>
          <w:bCs/>
          <w:sz w:val="22"/>
          <w:szCs w:val="22"/>
        </w:rPr>
        <w:t>Elektronik Ticaret Kanunu</w:t>
      </w:r>
      <w:r w:rsidRPr="00EB2DC8">
        <w:rPr>
          <w:rFonts w:ascii="Times New Roman" w:hAnsi="Times New Roman" w:cs="Times New Roman"/>
          <w:sz w:val="22"/>
          <w:szCs w:val="22"/>
        </w:rPr>
        <w:t>”), Tüketicinin Korunması Hakkında Kanun (“</w:t>
      </w:r>
      <w:r w:rsidRPr="00EB2DC8">
        <w:rPr>
          <w:rFonts w:ascii="Times New Roman" w:hAnsi="Times New Roman" w:cs="Times New Roman"/>
          <w:b/>
          <w:bCs/>
          <w:sz w:val="22"/>
          <w:szCs w:val="22"/>
        </w:rPr>
        <w:t>Tüketici Kanunu</w:t>
      </w:r>
      <w:r w:rsidRPr="00EB2DC8">
        <w:rPr>
          <w:rFonts w:ascii="Times New Roman" w:hAnsi="Times New Roman" w:cs="Times New Roman"/>
          <w:sz w:val="22"/>
          <w:szCs w:val="22"/>
        </w:rPr>
        <w:t>”) ve Mesafeli Sözleşmeler Yönetmeliği (“</w:t>
      </w:r>
      <w:r w:rsidRPr="00EB2DC8">
        <w:rPr>
          <w:rFonts w:ascii="Times New Roman" w:hAnsi="Times New Roman" w:cs="Times New Roman"/>
          <w:b/>
          <w:bCs/>
          <w:sz w:val="22"/>
          <w:szCs w:val="22"/>
        </w:rPr>
        <w:t>Mesafeli Sözleşmeler Yönetmeliği</w:t>
      </w:r>
      <w:r w:rsidRPr="00EB2DC8">
        <w:rPr>
          <w:rFonts w:ascii="Times New Roman" w:hAnsi="Times New Roman" w:cs="Times New Roman"/>
          <w:sz w:val="22"/>
          <w:szCs w:val="22"/>
        </w:rPr>
        <w:t>”) oluşturur. Bu düzenlemeler, dijital ortamda ticari güveni tesis etmeyi ve asimetrik bilgi dengesini azaltmayı amaçlar. Özellikle e-ticaret platformlarının yaygınlaşmasıyla birlikte, “</w:t>
      </w:r>
      <w:r w:rsidRPr="00EB2DC8">
        <w:rPr>
          <w:rFonts w:ascii="Times New Roman" w:hAnsi="Times New Roman" w:cs="Times New Roman"/>
          <w:sz w:val="22"/>
          <w:szCs w:val="22"/>
          <w:u w:val="single"/>
        </w:rPr>
        <w:t>açık ve anlaşılır bilgilendirme</w:t>
      </w:r>
      <w:r w:rsidRPr="00EB2DC8">
        <w:rPr>
          <w:rFonts w:ascii="Times New Roman" w:hAnsi="Times New Roman" w:cs="Times New Roman"/>
          <w:sz w:val="22"/>
          <w:szCs w:val="22"/>
        </w:rPr>
        <w:t>” kavramı artık sadece şekli bir yükümlülük değil, doğrudan tüketicinin irade serbestisini koruyan bir kural niteliği taşımaktadır.</w:t>
      </w:r>
    </w:p>
    <w:p w14:paraId="534DED35" w14:textId="77777777" w:rsidR="00057CE7" w:rsidRPr="00EB2DC8" w:rsidRDefault="00057CE7" w:rsidP="00057CE7">
      <w:pPr>
        <w:pStyle w:val="ListeParagraf"/>
        <w:numPr>
          <w:ilvl w:val="0"/>
          <w:numId w:val="11"/>
        </w:numPr>
        <w:jc w:val="both"/>
        <w:rPr>
          <w:rFonts w:ascii="Times New Roman" w:hAnsi="Times New Roman" w:cs="Times New Roman"/>
          <w:b/>
          <w:bCs/>
          <w:sz w:val="22"/>
          <w:szCs w:val="22"/>
        </w:rPr>
      </w:pPr>
      <w:r w:rsidRPr="00EB2DC8">
        <w:rPr>
          <w:rFonts w:ascii="Times New Roman" w:hAnsi="Times New Roman" w:cs="Times New Roman"/>
          <w:b/>
          <w:bCs/>
          <w:sz w:val="22"/>
          <w:szCs w:val="22"/>
        </w:rPr>
        <w:t>Hukuki Dayanaklar ve Yükümlülüğün Kapsamı</w:t>
      </w:r>
    </w:p>
    <w:p w14:paraId="6F91E9DC" w14:textId="77777777" w:rsidR="00057CE7" w:rsidRPr="00EB2DC8" w:rsidRDefault="00057CE7" w:rsidP="00057CE7">
      <w:pPr>
        <w:jc w:val="both"/>
        <w:rPr>
          <w:rFonts w:ascii="Times New Roman" w:hAnsi="Times New Roman" w:cs="Times New Roman"/>
          <w:sz w:val="22"/>
          <w:szCs w:val="22"/>
        </w:rPr>
      </w:pPr>
      <w:r w:rsidRPr="00EB2DC8">
        <w:rPr>
          <w:rFonts w:ascii="Times New Roman" w:hAnsi="Times New Roman" w:cs="Times New Roman"/>
          <w:sz w:val="22"/>
          <w:szCs w:val="22"/>
        </w:rPr>
        <w:t>Elektronik Ticaret Kanunu’nun 3. maddesi uyarınca, hizmet sağlayıcılar (satıcılar) ve aracı hizmet sağlayıcılar, alıcılara ilişkin tüm bilgilendirmeleri doğru, eksiksiz, güncel ve kolay erişilebilir şekilde sunmakla yükümlüdür.</w:t>
      </w:r>
    </w:p>
    <w:p w14:paraId="4BC5946F" w14:textId="77777777" w:rsidR="00057CE7" w:rsidRPr="00EB2DC8" w:rsidRDefault="00057CE7" w:rsidP="00057CE7">
      <w:pPr>
        <w:jc w:val="both"/>
        <w:rPr>
          <w:rFonts w:ascii="Times New Roman" w:hAnsi="Times New Roman" w:cs="Times New Roman"/>
          <w:sz w:val="22"/>
          <w:szCs w:val="22"/>
        </w:rPr>
      </w:pPr>
      <w:r w:rsidRPr="00EB2DC8">
        <w:rPr>
          <w:rFonts w:ascii="Times New Roman" w:hAnsi="Times New Roman" w:cs="Times New Roman"/>
          <w:sz w:val="22"/>
          <w:szCs w:val="22"/>
        </w:rPr>
        <w:t>Mesafeli Sözleşmeler Yönetmeliği’ de satıcıların;</w:t>
      </w:r>
    </w:p>
    <w:p w14:paraId="75DC355F" w14:textId="77777777" w:rsidR="00057CE7" w:rsidRPr="00EB2DC8" w:rsidRDefault="00057CE7" w:rsidP="00057CE7">
      <w:pPr>
        <w:numPr>
          <w:ilvl w:val="0"/>
          <w:numId w:val="8"/>
        </w:numPr>
        <w:jc w:val="both"/>
        <w:rPr>
          <w:rFonts w:ascii="Times New Roman" w:hAnsi="Times New Roman" w:cs="Times New Roman"/>
          <w:sz w:val="22"/>
          <w:szCs w:val="22"/>
        </w:rPr>
      </w:pPr>
      <w:r w:rsidRPr="00EB2DC8">
        <w:rPr>
          <w:rFonts w:ascii="Times New Roman" w:hAnsi="Times New Roman" w:cs="Times New Roman"/>
          <w:sz w:val="22"/>
          <w:szCs w:val="22"/>
        </w:rPr>
        <w:t>Ticaret unvanı, MERSİS numarası, adres ve iletişim bilgilerini,</w:t>
      </w:r>
    </w:p>
    <w:p w14:paraId="1BF86F8E" w14:textId="77777777" w:rsidR="00057CE7" w:rsidRPr="00EB2DC8" w:rsidRDefault="00057CE7" w:rsidP="00057CE7">
      <w:pPr>
        <w:numPr>
          <w:ilvl w:val="0"/>
          <w:numId w:val="8"/>
        </w:numPr>
        <w:jc w:val="both"/>
        <w:rPr>
          <w:rFonts w:ascii="Times New Roman" w:hAnsi="Times New Roman" w:cs="Times New Roman"/>
          <w:sz w:val="22"/>
          <w:szCs w:val="22"/>
        </w:rPr>
      </w:pPr>
      <w:r w:rsidRPr="00EB2DC8">
        <w:rPr>
          <w:rFonts w:ascii="Times New Roman" w:hAnsi="Times New Roman" w:cs="Times New Roman"/>
          <w:sz w:val="22"/>
          <w:szCs w:val="22"/>
        </w:rPr>
        <w:t>Sözleşmenin kurulmasına ilişkin teknik adımları,</w:t>
      </w:r>
    </w:p>
    <w:p w14:paraId="24DC5FBF" w14:textId="77777777" w:rsidR="00057CE7" w:rsidRPr="00EB2DC8" w:rsidRDefault="00057CE7" w:rsidP="00057CE7">
      <w:pPr>
        <w:numPr>
          <w:ilvl w:val="0"/>
          <w:numId w:val="8"/>
        </w:numPr>
        <w:jc w:val="both"/>
        <w:rPr>
          <w:rFonts w:ascii="Times New Roman" w:hAnsi="Times New Roman" w:cs="Times New Roman"/>
          <w:sz w:val="22"/>
          <w:szCs w:val="22"/>
        </w:rPr>
      </w:pPr>
      <w:r w:rsidRPr="00EB2DC8">
        <w:rPr>
          <w:rFonts w:ascii="Times New Roman" w:hAnsi="Times New Roman" w:cs="Times New Roman"/>
          <w:sz w:val="22"/>
          <w:szCs w:val="22"/>
        </w:rPr>
        <w:t>Sözleşmenin saklanıp saklanmayacağına ve tüketici tarafından erişilebilir olup olmayacağına ilişkin bilgileri,</w:t>
      </w:r>
    </w:p>
    <w:p w14:paraId="3551EEF7" w14:textId="77777777" w:rsidR="00057CE7" w:rsidRPr="00EB2DC8" w:rsidRDefault="00057CE7" w:rsidP="00057CE7">
      <w:pPr>
        <w:numPr>
          <w:ilvl w:val="0"/>
          <w:numId w:val="8"/>
        </w:numPr>
        <w:jc w:val="both"/>
        <w:rPr>
          <w:rFonts w:ascii="Times New Roman" w:hAnsi="Times New Roman" w:cs="Times New Roman"/>
          <w:sz w:val="22"/>
          <w:szCs w:val="22"/>
        </w:rPr>
      </w:pPr>
      <w:r w:rsidRPr="00EB2DC8">
        <w:rPr>
          <w:rFonts w:ascii="Times New Roman" w:hAnsi="Times New Roman" w:cs="Times New Roman"/>
          <w:sz w:val="22"/>
          <w:szCs w:val="22"/>
        </w:rPr>
        <w:t>Sipariş hatalarının nasıl düzeltileceğini,</w:t>
      </w:r>
    </w:p>
    <w:p w14:paraId="234945A3" w14:textId="77777777" w:rsidR="00057CE7" w:rsidRPr="00EB2DC8" w:rsidRDefault="00057CE7" w:rsidP="00057CE7">
      <w:pPr>
        <w:numPr>
          <w:ilvl w:val="0"/>
          <w:numId w:val="8"/>
        </w:numPr>
        <w:jc w:val="both"/>
        <w:rPr>
          <w:rFonts w:ascii="Times New Roman" w:hAnsi="Times New Roman" w:cs="Times New Roman"/>
          <w:sz w:val="22"/>
          <w:szCs w:val="22"/>
        </w:rPr>
      </w:pPr>
      <w:r w:rsidRPr="00EB2DC8">
        <w:rPr>
          <w:rFonts w:ascii="Times New Roman" w:hAnsi="Times New Roman" w:cs="Times New Roman"/>
          <w:sz w:val="22"/>
          <w:szCs w:val="22"/>
        </w:rPr>
        <w:t>Uygulanan gizlilik politikalarını</w:t>
      </w:r>
      <w:r w:rsidRPr="00EB2DC8">
        <w:rPr>
          <w:rFonts w:ascii="Times New Roman" w:hAnsi="Times New Roman" w:cs="Times New Roman"/>
          <w:sz w:val="22"/>
          <w:szCs w:val="22"/>
        </w:rPr>
        <w:br/>
        <w:t>önceden ve açıkça belirtmesini zorunlu kılar.</w:t>
      </w:r>
    </w:p>
    <w:p w14:paraId="4D0131C4" w14:textId="77777777" w:rsidR="00057CE7" w:rsidRPr="00EB2DC8" w:rsidRDefault="00057CE7" w:rsidP="00057CE7">
      <w:pPr>
        <w:jc w:val="both"/>
        <w:rPr>
          <w:rFonts w:ascii="Times New Roman" w:hAnsi="Times New Roman" w:cs="Times New Roman"/>
          <w:sz w:val="22"/>
          <w:szCs w:val="22"/>
        </w:rPr>
      </w:pPr>
      <w:r w:rsidRPr="00EB2DC8">
        <w:rPr>
          <w:rFonts w:ascii="Times New Roman" w:hAnsi="Times New Roman" w:cs="Times New Roman"/>
          <w:sz w:val="22"/>
          <w:szCs w:val="22"/>
        </w:rPr>
        <w:t>Yönetmelik, sipariş verilmeden önce yapılacak bilgilendirmenin içeriğini, şekil şartlarını ve ispat yükünü açıkça düzenler. Buradaki temel prensip, tüketicinin sözleşme kurulmadan önce mal veya hizmetin tüm önemli unsurları hakkında yeterli bilgiye sahip olmasını sağlamaktır.</w:t>
      </w:r>
    </w:p>
    <w:p w14:paraId="41DF04D8" w14:textId="77777777" w:rsidR="00057CE7" w:rsidRPr="00EB2DC8" w:rsidRDefault="00057CE7" w:rsidP="00057CE7">
      <w:pPr>
        <w:jc w:val="both"/>
        <w:rPr>
          <w:rFonts w:ascii="Times New Roman" w:hAnsi="Times New Roman" w:cs="Times New Roman"/>
          <w:sz w:val="22"/>
          <w:szCs w:val="22"/>
        </w:rPr>
      </w:pPr>
      <w:r w:rsidRPr="00EB2DC8">
        <w:rPr>
          <w:rFonts w:ascii="Times New Roman" w:hAnsi="Times New Roman" w:cs="Times New Roman"/>
          <w:sz w:val="22"/>
          <w:szCs w:val="22"/>
        </w:rPr>
        <w:t>Yargıtay’ın yerleşik içtihatlarında da bu prensip vurgulanmaktadır:</w:t>
      </w:r>
    </w:p>
    <w:p w14:paraId="23C9A7BD" w14:textId="77777777" w:rsidR="00057CE7" w:rsidRPr="00EB2DC8" w:rsidRDefault="00057CE7" w:rsidP="00057CE7">
      <w:pPr>
        <w:jc w:val="both"/>
        <w:rPr>
          <w:rFonts w:ascii="Times New Roman" w:hAnsi="Times New Roman" w:cs="Times New Roman"/>
          <w:i/>
          <w:iCs/>
          <w:sz w:val="22"/>
          <w:szCs w:val="22"/>
        </w:rPr>
      </w:pPr>
      <w:r w:rsidRPr="00EB2DC8">
        <w:rPr>
          <w:rFonts w:ascii="Times New Roman" w:hAnsi="Times New Roman" w:cs="Times New Roman"/>
          <w:i/>
          <w:iCs/>
          <w:sz w:val="22"/>
          <w:szCs w:val="22"/>
        </w:rPr>
        <w:t>“Tüketicinin bilgilendirilmesi yalnızca bilginin sunulmuş olmasıyla değil, tüketicinin bilgilendirilmiş olmasının sağlanmasıyla gerçekleşir.”</w:t>
      </w:r>
    </w:p>
    <w:p w14:paraId="0A34CC43" w14:textId="77777777" w:rsidR="00057CE7" w:rsidRPr="00EB2DC8" w:rsidRDefault="00057CE7" w:rsidP="00057CE7">
      <w:pPr>
        <w:jc w:val="both"/>
        <w:rPr>
          <w:rFonts w:ascii="Times New Roman" w:hAnsi="Times New Roman" w:cs="Times New Roman"/>
          <w:sz w:val="22"/>
          <w:szCs w:val="22"/>
        </w:rPr>
      </w:pPr>
      <w:r w:rsidRPr="00EB2DC8">
        <w:rPr>
          <w:rFonts w:ascii="Times New Roman" w:hAnsi="Times New Roman" w:cs="Times New Roman"/>
          <w:sz w:val="22"/>
          <w:szCs w:val="22"/>
        </w:rPr>
        <w:t>Dolayısıyla bilgilendirme yükümlülüğü, salt bir “metin paylaşma” değil, fiilen anlaşılırlığı temin etme yükümlülüğüdür.</w:t>
      </w:r>
    </w:p>
    <w:p w14:paraId="65C32878" w14:textId="77777777" w:rsidR="00E34475" w:rsidRPr="00EB2DC8" w:rsidRDefault="00E34475" w:rsidP="00057CE7">
      <w:pPr>
        <w:jc w:val="both"/>
        <w:rPr>
          <w:rFonts w:ascii="Times New Roman" w:hAnsi="Times New Roman" w:cs="Times New Roman"/>
          <w:sz w:val="22"/>
          <w:szCs w:val="22"/>
        </w:rPr>
      </w:pPr>
    </w:p>
    <w:p w14:paraId="268CEE93" w14:textId="77777777" w:rsidR="00057CE7" w:rsidRPr="00EB2DC8" w:rsidRDefault="00057CE7" w:rsidP="00057CE7">
      <w:pPr>
        <w:pStyle w:val="ListeParagraf"/>
        <w:numPr>
          <w:ilvl w:val="0"/>
          <w:numId w:val="11"/>
        </w:numPr>
        <w:jc w:val="both"/>
        <w:rPr>
          <w:rFonts w:ascii="Times New Roman" w:hAnsi="Times New Roman" w:cs="Times New Roman"/>
          <w:b/>
          <w:bCs/>
          <w:sz w:val="22"/>
          <w:szCs w:val="22"/>
        </w:rPr>
      </w:pPr>
      <w:r w:rsidRPr="00EB2DC8">
        <w:rPr>
          <w:rFonts w:ascii="Times New Roman" w:hAnsi="Times New Roman" w:cs="Times New Roman"/>
          <w:b/>
          <w:bCs/>
          <w:sz w:val="22"/>
          <w:szCs w:val="22"/>
        </w:rPr>
        <w:lastRenderedPageBreak/>
        <w:t xml:space="preserve"> “Açık ve Anlaşılır” Olma İlkesinin İçeriği</w:t>
      </w:r>
    </w:p>
    <w:p w14:paraId="07A934C7" w14:textId="77777777" w:rsidR="00057CE7" w:rsidRPr="00EB2DC8" w:rsidRDefault="00057CE7" w:rsidP="00057CE7">
      <w:pPr>
        <w:jc w:val="both"/>
        <w:rPr>
          <w:rFonts w:ascii="Times New Roman" w:hAnsi="Times New Roman" w:cs="Times New Roman"/>
          <w:sz w:val="22"/>
          <w:szCs w:val="22"/>
        </w:rPr>
      </w:pPr>
      <w:r w:rsidRPr="00EB2DC8">
        <w:rPr>
          <w:rFonts w:ascii="Times New Roman" w:hAnsi="Times New Roman" w:cs="Times New Roman"/>
          <w:sz w:val="22"/>
          <w:szCs w:val="22"/>
        </w:rPr>
        <w:t xml:space="preserve">E-ticaret mevzuatında sıkça yer alan “açık ve anlaşılır olma” </w:t>
      </w:r>
      <w:proofErr w:type="gramStart"/>
      <w:r w:rsidRPr="00EB2DC8">
        <w:rPr>
          <w:rFonts w:ascii="Times New Roman" w:hAnsi="Times New Roman" w:cs="Times New Roman"/>
          <w:sz w:val="22"/>
          <w:szCs w:val="22"/>
        </w:rPr>
        <w:t>kavramı,</w:t>
      </w:r>
      <w:proofErr w:type="gramEnd"/>
      <w:r w:rsidRPr="00EB2DC8">
        <w:rPr>
          <w:rFonts w:ascii="Times New Roman" w:hAnsi="Times New Roman" w:cs="Times New Roman"/>
          <w:sz w:val="22"/>
          <w:szCs w:val="22"/>
        </w:rPr>
        <w:t xml:space="preserve"> hem içeriksel hem de biçimsel boyuta sahiptir.</w:t>
      </w:r>
      <w:r w:rsidRPr="00EB2DC8">
        <w:rPr>
          <w:rFonts w:ascii="Times New Roman" w:hAnsi="Times New Roman" w:cs="Times New Roman"/>
          <w:sz w:val="22"/>
          <w:szCs w:val="22"/>
        </w:rPr>
        <w:br/>
        <w:t>Bu ilke üç ana unsurdan oluşur:</w:t>
      </w:r>
    </w:p>
    <w:p w14:paraId="015A72B0" w14:textId="77777777" w:rsidR="00057CE7" w:rsidRPr="00EB2DC8" w:rsidRDefault="00057CE7" w:rsidP="00057CE7">
      <w:pPr>
        <w:pStyle w:val="ListeParagraf"/>
        <w:numPr>
          <w:ilvl w:val="0"/>
          <w:numId w:val="9"/>
        </w:numPr>
        <w:jc w:val="both"/>
        <w:rPr>
          <w:rFonts w:ascii="Times New Roman" w:hAnsi="Times New Roman" w:cs="Times New Roman"/>
          <w:sz w:val="22"/>
          <w:szCs w:val="22"/>
        </w:rPr>
      </w:pPr>
      <w:r w:rsidRPr="00EB2DC8">
        <w:rPr>
          <w:rFonts w:ascii="Times New Roman" w:hAnsi="Times New Roman" w:cs="Times New Roman"/>
          <w:b/>
          <w:bCs/>
          <w:sz w:val="22"/>
          <w:szCs w:val="22"/>
        </w:rPr>
        <w:t>Dilsel Açıklık:</w:t>
      </w:r>
      <w:r w:rsidRPr="00EB2DC8">
        <w:rPr>
          <w:rFonts w:ascii="Times New Roman" w:hAnsi="Times New Roman" w:cs="Times New Roman"/>
          <w:sz w:val="22"/>
          <w:szCs w:val="22"/>
        </w:rPr>
        <w:br/>
        <w:t>Bilgilendirme metinlerinde teknik veya yabancı terimler yerine sade, günlük kullanım diline yakın ifadeler tercih edilmelidir. “Ücretsiz kargo” gibi ifadelerin altında ek koşullar varsa bunlar aynı büyüklükte ve aynı görünürlükte belirtilmelidir.</w:t>
      </w:r>
      <w:r w:rsidRPr="00EB2DC8">
        <w:rPr>
          <w:rFonts w:ascii="Times New Roman" w:hAnsi="Times New Roman" w:cs="Times New Roman"/>
          <w:sz w:val="22"/>
          <w:szCs w:val="22"/>
        </w:rPr>
        <w:br/>
        <w:t>Aksi hâlde, bilgi yanıltıcı veya eksik sayılır.</w:t>
      </w:r>
    </w:p>
    <w:p w14:paraId="05EE8CDA" w14:textId="77777777" w:rsidR="00057CE7" w:rsidRPr="00EB2DC8" w:rsidRDefault="00057CE7" w:rsidP="00057CE7">
      <w:pPr>
        <w:numPr>
          <w:ilvl w:val="0"/>
          <w:numId w:val="9"/>
        </w:numPr>
        <w:jc w:val="both"/>
        <w:rPr>
          <w:rFonts w:ascii="Times New Roman" w:hAnsi="Times New Roman" w:cs="Times New Roman"/>
          <w:sz w:val="22"/>
          <w:szCs w:val="22"/>
        </w:rPr>
      </w:pPr>
      <w:r w:rsidRPr="00EB2DC8">
        <w:rPr>
          <w:rFonts w:ascii="Times New Roman" w:hAnsi="Times New Roman" w:cs="Times New Roman"/>
          <w:b/>
          <w:bCs/>
          <w:sz w:val="22"/>
          <w:szCs w:val="22"/>
        </w:rPr>
        <w:t>Yapısal Erişilebilirlik:</w:t>
      </w:r>
      <w:r w:rsidRPr="00EB2DC8">
        <w:rPr>
          <w:rFonts w:ascii="Times New Roman" w:hAnsi="Times New Roman" w:cs="Times New Roman"/>
          <w:sz w:val="22"/>
          <w:szCs w:val="22"/>
        </w:rPr>
        <w:br/>
        <w:t xml:space="preserve">Bilgilere ulaşım, tüketici açısından kolay ve sezgisel olmalıdır. Bilgilendirme metinlerinin gizli menüler altında veya onay kutularına gömülü biçimde sunulması, </w:t>
      </w:r>
      <w:r w:rsidRPr="00EB2DC8">
        <w:rPr>
          <w:rFonts w:ascii="Times New Roman" w:hAnsi="Times New Roman" w:cs="Times New Roman"/>
          <w:b/>
          <w:bCs/>
          <w:sz w:val="22"/>
          <w:szCs w:val="22"/>
        </w:rPr>
        <w:t>açıklık ilkesine aykırıdır.</w:t>
      </w:r>
    </w:p>
    <w:p w14:paraId="2B9E428B" w14:textId="77777777" w:rsidR="00057CE7" w:rsidRPr="00EB2DC8" w:rsidRDefault="00057CE7" w:rsidP="00057CE7">
      <w:pPr>
        <w:numPr>
          <w:ilvl w:val="0"/>
          <w:numId w:val="9"/>
        </w:numPr>
        <w:jc w:val="both"/>
        <w:rPr>
          <w:rFonts w:ascii="Times New Roman" w:hAnsi="Times New Roman" w:cs="Times New Roman"/>
          <w:sz w:val="22"/>
          <w:szCs w:val="22"/>
        </w:rPr>
      </w:pPr>
      <w:r w:rsidRPr="00EB2DC8">
        <w:rPr>
          <w:rFonts w:ascii="Times New Roman" w:hAnsi="Times New Roman" w:cs="Times New Roman"/>
          <w:b/>
          <w:bCs/>
          <w:sz w:val="22"/>
          <w:szCs w:val="22"/>
        </w:rPr>
        <w:t>İçeriksel Dürüstlük:</w:t>
      </w:r>
      <w:r w:rsidRPr="00EB2DC8">
        <w:rPr>
          <w:rFonts w:ascii="Times New Roman" w:hAnsi="Times New Roman" w:cs="Times New Roman"/>
          <w:sz w:val="22"/>
          <w:szCs w:val="22"/>
        </w:rPr>
        <w:br/>
        <w:t>Bilgiler, tüketiciyi yönlendirecek şekilde manipülatif olmamalıdır. Özellikle “kampanya bitimine 5 dakika kaldı” veya “son 2 ürün” gibi gerçeğe aykırı beyanlar, Ticaret Bakanlığı denetimlerinde haksız ticari uygulama olarak değerlendirilmektedir.</w:t>
      </w:r>
    </w:p>
    <w:p w14:paraId="716B8812" w14:textId="77777777" w:rsidR="00057CE7" w:rsidRPr="00EB2DC8" w:rsidRDefault="00057CE7" w:rsidP="00057CE7">
      <w:pPr>
        <w:pStyle w:val="ListeParagraf"/>
        <w:numPr>
          <w:ilvl w:val="0"/>
          <w:numId w:val="11"/>
        </w:numPr>
        <w:jc w:val="both"/>
        <w:rPr>
          <w:rFonts w:ascii="Times New Roman" w:hAnsi="Times New Roman" w:cs="Times New Roman"/>
          <w:b/>
          <w:bCs/>
          <w:sz w:val="22"/>
          <w:szCs w:val="22"/>
        </w:rPr>
      </w:pPr>
      <w:r w:rsidRPr="00EB2DC8">
        <w:rPr>
          <w:rFonts w:ascii="Times New Roman" w:hAnsi="Times New Roman" w:cs="Times New Roman"/>
          <w:b/>
          <w:bCs/>
          <w:sz w:val="22"/>
          <w:szCs w:val="22"/>
        </w:rPr>
        <w:t>Satıcının Uygulamada Dikkat Etmesi Gereken Noktalar</w:t>
      </w:r>
    </w:p>
    <w:p w14:paraId="45501695" w14:textId="77777777" w:rsidR="00057CE7" w:rsidRPr="00EB2DC8" w:rsidRDefault="00057CE7" w:rsidP="00057CE7">
      <w:pPr>
        <w:jc w:val="both"/>
        <w:rPr>
          <w:rFonts w:ascii="Times New Roman" w:hAnsi="Times New Roman" w:cs="Times New Roman"/>
          <w:sz w:val="22"/>
          <w:szCs w:val="22"/>
        </w:rPr>
      </w:pPr>
      <w:r w:rsidRPr="00EB2DC8">
        <w:rPr>
          <w:rFonts w:ascii="Times New Roman" w:hAnsi="Times New Roman" w:cs="Times New Roman"/>
          <w:sz w:val="22"/>
          <w:szCs w:val="22"/>
        </w:rPr>
        <w:t>Satıcılar, bilgilendirme yükümlülüklerini yerine getirirken hem idari yaptırımlar hem de özel hukuk sorumlulukları açısından dikkatli olmalıdır.</w:t>
      </w:r>
    </w:p>
    <w:p w14:paraId="2C7F33E9" w14:textId="77777777" w:rsidR="00057CE7" w:rsidRPr="00EB2DC8" w:rsidRDefault="00057CE7" w:rsidP="00057CE7">
      <w:pPr>
        <w:jc w:val="both"/>
        <w:rPr>
          <w:rFonts w:ascii="Times New Roman" w:hAnsi="Times New Roman" w:cs="Times New Roman"/>
          <w:sz w:val="22"/>
          <w:szCs w:val="22"/>
        </w:rPr>
      </w:pPr>
      <w:r w:rsidRPr="00EB2DC8">
        <w:rPr>
          <w:rFonts w:ascii="Times New Roman" w:hAnsi="Times New Roman" w:cs="Times New Roman"/>
          <w:b/>
          <w:bCs/>
          <w:sz w:val="22"/>
          <w:szCs w:val="22"/>
        </w:rPr>
        <w:t>Uygulamada öne çıkan başlıca hususlar şunlardır:</w:t>
      </w:r>
    </w:p>
    <w:p w14:paraId="26F74D0F" w14:textId="77777777" w:rsidR="00057CE7" w:rsidRPr="00EB2DC8" w:rsidRDefault="00057CE7" w:rsidP="00057CE7">
      <w:pPr>
        <w:numPr>
          <w:ilvl w:val="0"/>
          <w:numId w:val="10"/>
        </w:numPr>
        <w:jc w:val="both"/>
        <w:rPr>
          <w:rFonts w:ascii="Times New Roman" w:hAnsi="Times New Roman" w:cs="Times New Roman"/>
          <w:sz w:val="22"/>
          <w:szCs w:val="22"/>
        </w:rPr>
      </w:pPr>
      <w:r w:rsidRPr="00EB2DC8">
        <w:rPr>
          <w:rFonts w:ascii="Times New Roman" w:hAnsi="Times New Roman" w:cs="Times New Roman"/>
          <w:b/>
          <w:bCs/>
          <w:sz w:val="22"/>
          <w:szCs w:val="22"/>
        </w:rPr>
        <w:t>Kimlik Bilgileri:</w:t>
      </w:r>
      <w:r w:rsidRPr="00EB2DC8">
        <w:rPr>
          <w:rFonts w:ascii="Times New Roman" w:hAnsi="Times New Roman" w:cs="Times New Roman"/>
          <w:sz w:val="22"/>
          <w:szCs w:val="22"/>
        </w:rPr>
        <w:t xml:space="preserve"> Ticaret unvanı, MERSİS numarası, açık adres ve iletişim bilgileri sitenin ana sayfasında veya “Hakkımızda” sekmesinde kolayca erişilebilir olmalıdır.</w:t>
      </w:r>
    </w:p>
    <w:p w14:paraId="78540300" w14:textId="77777777" w:rsidR="00057CE7" w:rsidRPr="00EB2DC8" w:rsidRDefault="00057CE7" w:rsidP="00057CE7">
      <w:pPr>
        <w:numPr>
          <w:ilvl w:val="0"/>
          <w:numId w:val="10"/>
        </w:numPr>
        <w:jc w:val="both"/>
        <w:rPr>
          <w:rFonts w:ascii="Times New Roman" w:hAnsi="Times New Roman" w:cs="Times New Roman"/>
          <w:sz w:val="22"/>
          <w:szCs w:val="22"/>
        </w:rPr>
      </w:pPr>
      <w:r w:rsidRPr="00EB2DC8">
        <w:rPr>
          <w:rFonts w:ascii="Times New Roman" w:hAnsi="Times New Roman" w:cs="Times New Roman"/>
          <w:b/>
          <w:bCs/>
          <w:sz w:val="22"/>
          <w:szCs w:val="22"/>
        </w:rPr>
        <w:t>Ürün Bilgisi:</w:t>
      </w:r>
      <w:r w:rsidRPr="00EB2DC8">
        <w:rPr>
          <w:rFonts w:ascii="Times New Roman" w:hAnsi="Times New Roman" w:cs="Times New Roman"/>
          <w:sz w:val="22"/>
          <w:szCs w:val="22"/>
        </w:rPr>
        <w:t xml:space="preserve"> Ürünün teknik özellikleri, garanti süresi, kullanım talimatı, menşei ve toplam satış fiyatı vergiler dahil olacak şekilde belirtilmelidir.</w:t>
      </w:r>
    </w:p>
    <w:p w14:paraId="4A040CF0" w14:textId="77777777" w:rsidR="00057CE7" w:rsidRPr="00EB2DC8" w:rsidRDefault="00057CE7" w:rsidP="00057CE7">
      <w:pPr>
        <w:numPr>
          <w:ilvl w:val="0"/>
          <w:numId w:val="10"/>
        </w:numPr>
        <w:jc w:val="both"/>
        <w:rPr>
          <w:rFonts w:ascii="Times New Roman" w:hAnsi="Times New Roman" w:cs="Times New Roman"/>
          <w:sz w:val="22"/>
          <w:szCs w:val="22"/>
        </w:rPr>
      </w:pPr>
      <w:r w:rsidRPr="00EB2DC8">
        <w:rPr>
          <w:rFonts w:ascii="Times New Roman" w:hAnsi="Times New Roman" w:cs="Times New Roman"/>
          <w:b/>
          <w:bCs/>
          <w:sz w:val="22"/>
          <w:szCs w:val="22"/>
        </w:rPr>
        <w:t>Teslimat Süresi:</w:t>
      </w:r>
      <w:r w:rsidRPr="00EB2DC8">
        <w:rPr>
          <w:rFonts w:ascii="Times New Roman" w:hAnsi="Times New Roman" w:cs="Times New Roman"/>
          <w:sz w:val="22"/>
          <w:szCs w:val="22"/>
        </w:rPr>
        <w:t xml:space="preserve"> Teslimat ve iade süreleri açıkça yazılmalı, “yaklaşık teslimat” gibi muğlak ifadelerden kaçınılmalıdır.</w:t>
      </w:r>
    </w:p>
    <w:p w14:paraId="1871296F" w14:textId="77777777" w:rsidR="00057CE7" w:rsidRPr="00EB2DC8" w:rsidRDefault="00057CE7" w:rsidP="00057CE7">
      <w:pPr>
        <w:numPr>
          <w:ilvl w:val="0"/>
          <w:numId w:val="10"/>
        </w:numPr>
        <w:jc w:val="both"/>
        <w:rPr>
          <w:rFonts w:ascii="Times New Roman" w:hAnsi="Times New Roman" w:cs="Times New Roman"/>
          <w:sz w:val="22"/>
          <w:szCs w:val="22"/>
        </w:rPr>
      </w:pPr>
      <w:r w:rsidRPr="00EB2DC8">
        <w:rPr>
          <w:rFonts w:ascii="Times New Roman" w:hAnsi="Times New Roman" w:cs="Times New Roman"/>
          <w:b/>
          <w:bCs/>
          <w:sz w:val="22"/>
          <w:szCs w:val="22"/>
        </w:rPr>
        <w:t>Cayma Hakkı:</w:t>
      </w:r>
      <w:r w:rsidRPr="00EB2DC8">
        <w:rPr>
          <w:rFonts w:ascii="Times New Roman" w:hAnsi="Times New Roman" w:cs="Times New Roman"/>
          <w:sz w:val="22"/>
          <w:szCs w:val="22"/>
        </w:rPr>
        <w:t xml:space="preserve"> Tüketicinin gerekçesiz olarak 14 gün içinde cayma hakkı bulunduğu ve bu hakkın nasıl kullanılacağı açıkça gösterilmelidir.</w:t>
      </w:r>
    </w:p>
    <w:p w14:paraId="484F3D6C" w14:textId="77777777" w:rsidR="00057CE7" w:rsidRPr="00EB2DC8" w:rsidRDefault="00057CE7" w:rsidP="00057CE7">
      <w:pPr>
        <w:numPr>
          <w:ilvl w:val="0"/>
          <w:numId w:val="10"/>
        </w:numPr>
        <w:jc w:val="both"/>
        <w:rPr>
          <w:rFonts w:ascii="Times New Roman" w:hAnsi="Times New Roman" w:cs="Times New Roman"/>
          <w:sz w:val="22"/>
          <w:szCs w:val="22"/>
        </w:rPr>
      </w:pPr>
      <w:r w:rsidRPr="00EB2DC8">
        <w:rPr>
          <w:rFonts w:ascii="Times New Roman" w:hAnsi="Times New Roman" w:cs="Times New Roman"/>
          <w:b/>
          <w:bCs/>
          <w:sz w:val="22"/>
          <w:szCs w:val="22"/>
        </w:rPr>
        <w:t>Veri Kullanımı:</w:t>
      </w:r>
      <w:r w:rsidRPr="00EB2DC8">
        <w:rPr>
          <w:rFonts w:ascii="Times New Roman" w:hAnsi="Times New Roman" w:cs="Times New Roman"/>
          <w:sz w:val="22"/>
          <w:szCs w:val="22"/>
        </w:rPr>
        <w:t xml:space="preserve"> Satıcı, kişisel verilerin işlenmesine ilişkin olarak 6698 sayılı KVKK hükümlerine uygun bir aydınlatma metni sunmalı ve gerekli teknik/idari tedbirleri almalıdır.</w:t>
      </w:r>
    </w:p>
    <w:p w14:paraId="22F4379F" w14:textId="77777777" w:rsidR="00057CE7" w:rsidRPr="00EB2DC8" w:rsidRDefault="00057CE7" w:rsidP="00057CE7">
      <w:pPr>
        <w:numPr>
          <w:ilvl w:val="0"/>
          <w:numId w:val="10"/>
        </w:numPr>
        <w:jc w:val="both"/>
        <w:rPr>
          <w:rFonts w:ascii="Times New Roman" w:hAnsi="Times New Roman" w:cs="Times New Roman"/>
          <w:sz w:val="22"/>
          <w:szCs w:val="22"/>
        </w:rPr>
      </w:pPr>
      <w:r w:rsidRPr="00EB2DC8">
        <w:rPr>
          <w:rFonts w:ascii="Times New Roman" w:hAnsi="Times New Roman" w:cs="Times New Roman"/>
          <w:b/>
          <w:bCs/>
          <w:sz w:val="22"/>
          <w:szCs w:val="22"/>
        </w:rPr>
        <w:t>İspat Yükü:</w:t>
      </w:r>
      <w:r w:rsidRPr="00EB2DC8">
        <w:rPr>
          <w:rFonts w:ascii="Times New Roman" w:hAnsi="Times New Roman" w:cs="Times New Roman"/>
          <w:sz w:val="22"/>
          <w:szCs w:val="22"/>
        </w:rPr>
        <w:t xml:space="preserve"> Bilgilendirme yükümlülüğünün yerine getirildiğini ispat yükü satıcıya aittir. Bu nedenle e-posta onay kayıtları, log kayıtları veya elektronik teyit bildirimleri saklanmalıdır.</w:t>
      </w:r>
    </w:p>
    <w:p w14:paraId="0E068B02" w14:textId="77777777" w:rsidR="00057CE7" w:rsidRPr="00EB2DC8" w:rsidRDefault="00057CE7" w:rsidP="00057CE7">
      <w:pPr>
        <w:jc w:val="both"/>
        <w:rPr>
          <w:rFonts w:ascii="Times New Roman" w:hAnsi="Times New Roman" w:cs="Times New Roman"/>
          <w:sz w:val="22"/>
          <w:szCs w:val="22"/>
        </w:rPr>
      </w:pPr>
      <w:r w:rsidRPr="00EB2DC8">
        <w:rPr>
          <w:rFonts w:ascii="Times New Roman" w:hAnsi="Times New Roman" w:cs="Times New Roman"/>
          <w:sz w:val="22"/>
          <w:szCs w:val="22"/>
        </w:rPr>
        <w:t>Bu yükümlülüklerin ihlali, Ticaret Bakanlığı tarafından idari para cezası ile yaptırıma bağlanmıştır. Nitekim 2024 yılı itibarıyla “tüketiciyi yanıltıcı e-ticaret uygulamaları” nedeniyle bazı platformlara ciddi idari yaptırımlar uygulanmıştır.</w:t>
      </w:r>
    </w:p>
    <w:p w14:paraId="2C0F80B4" w14:textId="77777777" w:rsidR="00057CE7" w:rsidRPr="00EB2DC8" w:rsidRDefault="00057CE7" w:rsidP="00057CE7">
      <w:pPr>
        <w:pStyle w:val="ListeParagraf"/>
        <w:numPr>
          <w:ilvl w:val="0"/>
          <w:numId w:val="11"/>
        </w:numPr>
        <w:jc w:val="both"/>
        <w:rPr>
          <w:rFonts w:ascii="Times New Roman" w:hAnsi="Times New Roman" w:cs="Times New Roman"/>
          <w:b/>
          <w:bCs/>
          <w:sz w:val="22"/>
          <w:szCs w:val="22"/>
        </w:rPr>
      </w:pPr>
      <w:r w:rsidRPr="00EB2DC8">
        <w:rPr>
          <w:rFonts w:ascii="Times New Roman" w:hAnsi="Times New Roman" w:cs="Times New Roman"/>
          <w:b/>
          <w:bCs/>
          <w:sz w:val="22"/>
          <w:szCs w:val="22"/>
        </w:rPr>
        <w:t xml:space="preserve">Dijital Arayüzde Açıklık İlkesi ve Dark </w:t>
      </w:r>
      <w:proofErr w:type="spellStart"/>
      <w:r w:rsidRPr="00EB2DC8">
        <w:rPr>
          <w:rFonts w:ascii="Times New Roman" w:hAnsi="Times New Roman" w:cs="Times New Roman"/>
          <w:b/>
          <w:bCs/>
          <w:sz w:val="22"/>
          <w:szCs w:val="22"/>
        </w:rPr>
        <w:t>Pattern</w:t>
      </w:r>
      <w:proofErr w:type="spellEnd"/>
      <w:r w:rsidRPr="00EB2DC8">
        <w:rPr>
          <w:rFonts w:ascii="Times New Roman" w:hAnsi="Times New Roman" w:cs="Times New Roman"/>
          <w:b/>
          <w:bCs/>
          <w:sz w:val="22"/>
          <w:szCs w:val="22"/>
        </w:rPr>
        <w:t xml:space="preserve"> Yasağı</w:t>
      </w:r>
    </w:p>
    <w:p w14:paraId="69C93CF9" w14:textId="77777777" w:rsidR="00057CE7" w:rsidRPr="00EB2DC8" w:rsidRDefault="00057CE7" w:rsidP="00057CE7">
      <w:pPr>
        <w:jc w:val="both"/>
        <w:rPr>
          <w:rFonts w:ascii="Times New Roman" w:hAnsi="Times New Roman" w:cs="Times New Roman"/>
          <w:sz w:val="22"/>
          <w:szCs w:val="22"/>
        </w:rPr>
      </w:pPr>
      <w:r w:rsidRPr="00EB2DC8">
        <w:rPr>
          <w:rFonts w:ascii="Times New Roman" w:hAnsi="Times New Roman" w:cs="Times New Roman"/>
          <w:sz w:val="22"/>
          <w:szCs w:val="22"/>
        </w:rPr>
        <w:t>E-ticarette açık bilgilendirme yalnızca metin düzeyinde değil, dijital tasarım düzeyinde de değerlendirilir.</w:t>
      </w:r>
      <w:r w:rsidRPr="00EB2DC8">
        <w:rPr>
          <w:rFonts w:ascii="Times New Roman" w:hAnsi="Times New Roman" w:cs="Times New Roman"/>
          <w:sz w:val="22"/>
          <w:szCs w:val="22"/>
        </w:rPr>
        <w:br/>
        <w:t>Son dönemde “</w:t>
      </w:r>
      <w:proofErr w:type="spellStart"/>
      <w:r w:rsidRPr="00EB2DC8">
        <w:rPr>
          <w:rFonts w:ascii="Times New Roman" w:hAnsi="Times New Roman" w:cs="Times New Roman"/>
          <w:sz w:val="22"/>
          <w:szCs w:val="22"/>
        </w:rPr>
        <w:t>dark</w:t>
      </w:r>
      <w:proofErr w:type="spellEnd"/>
      <w:r w:rsidRPr="00EB2DC8">
        <w:rPr>
          <w:rFonts w:ascii="Times New Roman" w:hAnsi="Times New Roman" w:cs="Times New Roman"/>
          <w:sz w:val="22"/>
          <w:szCs w:val="22"/>
        </w:rPr>
        <w:t xml:space="preserve"> </w:t>
      </w:r>
      <w:proofErr w:type="spellStart"/>
      <w:r w:rsidRPr="00EB2DC8">
        <w:rPr>
          <w:rFonts w:ascii="Times New Roman" w:hAnsi="Times New Roman" w:cs="Times New Roman"/>
          <w:sz w:val="22"/>
          <w:szCs w:val="22"/>
        </w:rPr>
        <w:t>pattern</w:t>
      </w:r>
      <w:proofErr w:type="spellEnd"/>
      <w:r w:rsidRPr="00EB2DC8">
        <w:rPr>
          <w:rFonts w:ascii="Times New Roman" w:hAnsi="Times New Roman" w:cs="Times New Roman"/>
          <w:sz w:val="22"/>
          <w:szCs w:val="22"/>
        </w:rPr>
        <w:t xml:space="preserve">” olarak adlandırılan, tüketiciyi yanıltıcı veya yönlendirici arayüz tasarımları </w:t>
      </w:r>
      <w:r w:rsidRPr="00EB2DC8">
        <w:rPr>
          <w:rFonts w:ascii="Times New Roman" w:hAnsi="Times New Roman" w:cs="Times New Roman"/>
          <w:sz w:val="22"/>
          <w:szCs w:val="22"/>
        </w:rPr>
        <w:lastRenderedPageBreak/>
        <w:t>(örneğin iptal butonunun görünmemesi, “vazgeç” seçeneğinin gri renkle gizlenmesi, otomatik abonelik yenilemeleri vb.) açık ve anlaşılır olma ilkesine aykırı kabul edilmektedir.</w:t>
      </w:r>
    </w:p>
    <w:p w14:paraId="68351683" w14:textId="77777777" w:rsidR="00057CE7" w:rsidRPr="00EB2DC8" w:rsidRDefault="00057CE7" w:rsidP="00057CE7">
      <w:pPr>
        <w:pStyle w:val="ListeParagraf"/>
        <w:numPr>
          <w:ilvl w:val="0"/>
          <w:numId w:val="11"/>
        </w:numPr>
        <w:jc w:val="both"/>
        <w:rPr>
          <w:rFonts w:ascii="Times New Roman" w:hAnsi="Times New Roman" w:cs="Times New Roman"/>
          <w:b/>
          <w:bCs/>
          <w:sz w:val="22"/>
          <w:szCs w:val="22"/>
        </w:rPr>
      </w:pPr>
      <w:r w:rsidRPr="00EB2DC8">
        <w:rPr>
          <w:rFonts w:ascii="Times New Roman" w:hAnsi="Times New Roman" w:cs="Times New Roman"/>
          <w:b/>
          <w:bCs/>
          <w:sz w:val="22"/>
          <w:szCs w:val="22"/>
        </w:rPr>
        <w:t>Sonuç</w:t>
      </w:r>
    </w:p>
    <w:p w14:paraId="57AD9BAC" w14:textId="77777777" w:rsidR="00057CE7" w:rsidRPr="00EB2DC8" w:rsidRDefault="00057CE7" w:rsidP="00057CE7">
      <w:pPr>
        <w:jc w:val="both"/>
        <w:rPr>
          <w:rFonts w:ascii="Times New Roman" w:hAnsi="Times New Roman" w:cs="Times New Roman"/>
          <w:sz w:val="22"/>
          <w:szCs w:val="22"/>
        </w:rPr>
      </w:pPr>
      <w:r w:rsidRPr="00EB2DC8">
        <w:rPr>
          <w:rFonts w:ascii="Times New Roman" w:hAnsi="Times New Roman" w:cs="Times New Roman"/>
          <w:sz w:val="22"/>
          <w:szCs w:val="22"/>
        </w:rPr>
        <w:t>Açık ve anlaşılır bilgilendirme, e-ticaret hukukunun en temel taşlarından biridir. Bu yükümlülük, yalnızca tüketicinin bilgilendirilmesini değil, irade serbestisinin korunmasını da hedefler. Satıcı açısından bu ilkeye uyum, yalnızca mevzuata uygunluk anlamına gelmez; aynı zamanda marka güvenilirliğinin korunması, itibarın güçlendirilmesi ve müşteri sadakatinin artırılması açısından da stratejik bir öneme sahiptir.</w:t>
      </w:r>
    </w:p>
    <w:p w14:paraId="3A39E788" w14:textId="77777777" w:rsidR="00057CE7" w:rsidRPr="00EB2DC8" w:rsidRDefault="00057CE7" w:rsidP="00057CE7">
      <w:pPr>
        <w:jc w:val="both"/>
        <w:rPr>
          <w:rFonts w:ascii="Times New Roman" w:hAnsi="Times New Roman" w:cs="Times New Roman"/>
          <w:sz w:val="22"/>
          <w:szCs w:val="22"/>
        </w:rPr>
      </w:pPr>
      <w:r w:rsidRPr="00EB2DC8">
        <w:rPr>
          <w:rFonts w:ascii="Times New Roman" w:hAnsi="Times New Roman" w:cs="Times New Roman"/>
          <w:sz w:val="22"/>
          <w:szCs w:val="22"/>
        </w:rPr>
        <w:t>Bu nedenle satıcıların, web sitesi veya mobil uygulamalarındaki tüm metinleri, arayüzleri ve satış politikalarını hukuki denetim süzgecinden geçirmeleri; bilgilendirme metinlerini periyodik olarak güncellemeleri ve çalışanlarını bu konuda bilinçlendirmeleri gerekmektedir. Özetle, e-ticaret artık yalnızca dijital pazarlama meselesi değil; hukuki uyumun da rekabet avantajına dönüştüğü bir alandır.</w:t>
      </w:r>
    </w:p>
    <w:p w14:paraId="7108E5D7" w14:textId="77777777" w:rsidR="00057CE7" w:rsidRPr="00EB2DC8" w:rsidRDefault="00057CE7" w:rsidP="00057CE7">
      <w:pPr>
        <w:tabs>
          <w:tab w:val="num" w:pos="567"/>
        </w:tabs>
        <w:spacing w:after="0" w:line="276" w:lineRule="auto"/>
        <w:jc w:val="both"/>
        <w:rPr>
          <w:rFonts w:ascii="Times New Roman" w:hAnsi="Times New Roman" w:cs="Times New Roman"/>
          <w:b/>
          <w:bCs/>
          <w:sz w:val="22"/>
          <w:szCs w:val="22"/>
        </w:rPr>
      </w:pPr>
    </w:p>
    <w:p w14:paraId="598A33FC" w14:textId="77777777" w:rsidR="00057CE7" w:rsidRPr="00EB2DC8" w:rsidRDefault="00057CE7" w:rsidP="00057CE7">
      <w:pPr>
        <w:tabs>
          <w:tab w:val="num" w:pos="567"/>
        </w:tabs>
        <w:spacing w:after="0" w:line="276" w:lineRule="auto"/>
        <w:jc w:val="both"/>
        <w:rPr>
          <w:rFonts w:ascii="Times New Roman" w:hAnsi="Times New Roman" w:cs="Times New Roman"/>
          <w:b/>
          <w:bCs/>
          <w:sz w:val="22"/>
          <w:szCs w:val="22"/>
        </w:rPr>
      </w:pPr>
    </w:p>
    <w:p w14:paraId="6303EF7A" w14:textId="545E2E32" w:rsidR="00057CE7" w:rsidRPr="00EB2DC8" w:rsidRDefault="00DB56EE" w:rsidP="00DB56EE">
      <w:pPr>
        <w:tabs>
          <w:tab w:val="num" w:pos="567"/>
        </w:tabs>
        <w:spacing w:after="0" w:line="276" w:lineRule="auto"/>
        <w:jc w:val="right"/>
        <w:rPr>
          <w:rFonts w:ascii="Times New Roman" w:hAnsi="Times New Roman" w:cs="Times New Roman"/>
          <w:b/>
          <w:bCs/>
          <w:sz w:val="22"/>
          <w:szCs w:val="22"/>
        </w:rPr>
      </w:pPr>
      <w:r w:rsidRPr="00EB2DC8">
        <w:rPr>
          <w:rFonts w:ascii="Times New Roman" w:hAnsi="Times New Roman" w:cs="Times New Roman"/>
          <w:b/>
          <w:bCs/>
          <w:sz w:val="22"/>
          <w:szCs w:val="22"/>
        </w:rPr>
        <w:t>19 KASIM 2025</w:t>
      </w:r>
    </w:p>
    <w:p w14:paraId="774695E3" w14:textId="77777777" w:rsidR="001824D6" w:rsidRPr="00EB2DC8" w:rsidRDefault="001824D6" w:rsidP="001824D6">
      <w:pPr>
        <w:numPr>
          <w:ilvl w:val="0"/>
          <w:numId w:val="1"/>
        </w:numPr>
        <w:tabs>
          <w:tab w:val="clear" w:pos="720"/>
          <w:tab w:val="num" w:pos="567"/>
        </w:tabs>
        <w:spacing w:after="0" w:line="276" w:lineRule="auto"/>
        <w:ind w:left="0"/>
        <w:jc w:val="both"/>
        <w:rPr>
          <w:rFonts w:ascii="Times New Roman" w:hAnsi="Times New Roman" w:cs="Times New Roman"/>
          <w:b/>
          <w:bCs/>
          <w:sz w:val="22"/>
          <w:szCs w:val="22"/>
        </w:rPr>
      </w:pPr>
      <w:r w:rsidRPr="00EB2DC8">
        <w:rPr>
          <w:rFonts w:ascii="Times New Roman" w:hAnsi="Times New Roman" w:cs="Times New Roman"/>
          <w:b/>
          <w:bCs/>
          <w:sz w:val="22"/>
          <w:szCs w:val="22"/>
        </w:rPr>
        <w:t xml:space="preserve">E-TİCARET MEVZUATINDA ARACI HİZMET SAĞLAYICININ HUKUKİ TANIMI VE SORUMLULUKLARI </w:t>
      </w:r>
    </w:p>
    <w:p w14:paraId="3BF7E73D" w14:textId="77777777" w:rsidR="008822C7" w:rsidRPr="00EB2DC8" w:rsidRDefault="008822C7" w:rsidP="008822C7">
      <w:pPr>
        <w:tabs>
          <w:tab w:val="num" w:pos="567"/>
        </w:tabs>
        <w:spacing w:after="0" w:line="276" w:lineRule="auto"/>
        <w:jc w:val="both"/>
        <w:rPr>
          <w:rFonts w:ascii="Times New Roman" w:hAnsi="Times New Roman" w:cs="Times New Roman"/>
          <w:b/>
          <w:bCs/>
          <w:sz w:val="22"/>
          <w:szCs w:val="22"/>
        </w:rPr>
      </w:pPr>
    </w:p>
    <w:p w14:paraId="28A3F464" w14:textId="77777777" w:rsidR="008822C7" w:rsidRPr="00EB2DC8" w:rsidRDefault="008822C7" w:rsidP="008822C7">
      <w:pPr>
        <w:jc w:val="both"/>
        <w:rPr>
          <w:rFonts w:ascii="Times New Roman" w:hAnsi="Times New Roman" w:cs="Times New Roman"/>
          <w:sz w:val="22"/>
          <w:szCs w:val="22"/>
        </w:rPr>
      </w:pPr>
      <w:r w:rsidRPr="00EB2DC8">
        <w:rPr>
          <w:rFonts w:ascii="Times New Roman" w:hAnsi="Times New Roman" w:cs="Times New Roman"/>
          <w:sz w:val="22"/>
          <w:szCs w:val="22"/>
        </w:rPr>
        <w:t xml:space="preserve">Dijital ticaretin yaygınlaşmasıyla birlikte, artık yalnızca satıcı ve tüketici arasındaki ilişki değil, bu ilişkiyi mümkün kılan aracı platformların rolü de belirleyici hale gelmiştir. Bu çerçevede, 1 Ocak 2023 tarihinde yürürlüğe giren </w:t>
      </w:r>
      <w:hyperlink r:id="rId5" w:history="1">
        <w:r w:rsidRPr="00EB2DC8">
          <w:rPr>
            <w:rFonts w:ascii="Times New Roman" w:hAnsi="Times New Roman" w:cs="Times New Roman"/>
            <w:sz w:val="22"/>
            <w:szCs w:val="22"/>
          </w:rPr>
          <w:t>Elektronik Ticaret Aracı Hizmet Sağlayıcı ve Elektronik Ticaret Hizmet Sağlayıcılar Hakkında Yönetmelik</w:t>
        </w:r>
      </w:hyperlink>
      <w:r w:rsidRPr="00EB2DC8">
        <w:rPr>
          <w:rFonts w:ascii="Times New Roman" w:hAnsi="Times New Roman" w:cs="Times New Roman"/>
          <w:sz w:val="22"/>
          <w:szCs w:val="22"/>
        </w:rPr>
        <w:t xml:space="preserve"> (“</w:t>
      </w:r>
      <w:r w:rsidRPr="00EB2DC8">
        <w:rPr>
          <w:rFonts w:ascii="Times New Roman" w:hAnsi="Times New Roman" w:cs="Times New Roman"/>
          <w:b/>
          <w:bCs/>
          <w:sz w:val="22"/>
          <w:szCs w:val="22"/>
        </w:rPr>
        <w:t xml:space="preserve">Yönetmelik”) </w:t>
      </w:r>
      <w:r w:rsidRPr="00EB2DC8">
        <w:rPr>
          <w:rFonts w:ascii="Times New Roman" w:hAnsi="Times New Roman" w:cs="Times New Roman"/>
          <w:sz w:val="22"/>
          <w:szCs w:val="22"/>
        </w:rPr>
        <w:t>ile 6563 sayılı Elektronik Ticaretin Düzenlenmesi Hakkında Kanun (“</w:t>
      </w:r>
      <w:r w:rsidRPr="00EB2DC8">
        <w:rPr>
          <w:rFonts w:ascii="Times New Roman" w:hAnsi="Times New Roman" w:cs="Times New Roman"/>
          <w:b/>
          <w:bCs/>
          <w:sz w:val="22"/>
          <w:szCs w:val="22"/>
        </w:rPr>
        <w:t>Kanun</w:t>
      </w:r>
      <w:r w:rsidRPr="00EB2DC8">
        <w:rPr>
          <w:rFonts w:ascii="Times New Roman" w:hAnsi="Times New Roman" w:cs="Times New Roman"/>
          <w:sz w:val="22"/>
          <w:szCs w:val="22"/>
        </w:rPr>
        <w:t>”) kapsamındaki elektronik ticaret aracı hizmet sağlayıcı (“</w:t>
      </w:r>
      <w:r w:rsidRPr="00EB2DC8">
        <w:rPr>
          <w:rFonts w:ascii="Times New Roman" w:hAnsi="Times New Roman" w:cs="Times New Roman"/>
          <w:b/>
          <w:bCs/>
          <w:sz w:val="22"/>
          <w:szCs w:val="22"/>
        </w:rPr>
        <w:t>ETAHS</w:t>
      </w:r>
      <w:r w:rsidRPr="00EB2DC8">
        <w:rPr>
          <w:rFonts w:ascii="Times New Roman" w:hAnsi="Times New Roman" w:cs="Times New Roman"/>
          <w:sz w:val="22"/>
          <w:szCs w:val="22"/>
        </w:rPr>
        <w:t>”) ile elektronik ticaret hizmet sağlayıcı (“</w:t>
      </w:r>
      <w:r w:rsidRPr="00EB2DC8">
        <w:rPr>
          <w:rFonts w:ascii="Times New Roman" w:hAnsi="Times New Roman" w:cs="Times New Roman"/>
          <w:b/>
          <w:bCs/>
          <w:sz w:val="22"/>
          <w:szCs w:val="22"/>
        </w:rPr>
        <w:t>ETHS</w:t>
      </w:r>
      <w:r w:rsidRPr="00EB2DC8">
        <w:rPr>
          <w:rFonts w:ascii="Times New Roman" w:hAnsi="Times New Roman" w:cs="Times New Roman"/>
          <w:sz w:val="22"/>
          <w:szCs w:val="22"/>
        </w:rPr>
        <w:t xml:space="preserve">”) tanımlamaları ve yükümlülükleri ayrıntılı olarak düzenlenmiştir. </w:t>
      </w:r>
      <w:r w:rsidRPr="00EB2DC8">
        <w:rPr>
          <w:rFonts w:ascii="Times New Roman" w:hAnsi="Times New Roman" w:cs="Times New Roman"/>
          <w:sz w:val="22"/>
          <w:szCs w:val="22"/>
        </w:rPr>
        <w:br/>
        <w:t>Bu makalede, Kanun ve Yönetmelik ışığında aracı hizmet sağlayıcının tanımı, hukuki konumu ve yükümlülükleri ele alınacaktır.</w:t>
      </w:r>
    </w:p>
    <w:p w14:paraId="34E3736D" w14:textId="77777777" w:rsidR="008822C7" w:rsidRPr="00EB2DC8" w:rsidRDefault="008822C7" w:rsidP="008822C7">
      <w:pPr>
        <w:pStyle w:val="ListeParagraf"/>
        <w:numPr>
          <w:ilvl w:val="0"/>
          <w:numId w:val="17"/>
        </w:numPr>
        <w:jc w:val="both"/>
        <w:rPr>
          <w:rFonts w:ascii="Times New Roman" w:hAnsi="Times New Roman" w:cs="Times New Roman"/>
          <w:b/>
          <w:bCs/>
          <w:sz w:val="22"/>
          <w:szCs w:val="22"/>
        </w:rPr>
      </w:pPr>
      <w:r w:rsidRPr="00EB2DC8">
        <w:rPr>
          <w:rFonts w:ascii="Times New Roman" w:hAnsi="Times New Roman" w:cs="Times New Roman"/>
          <w:b/>
          <w:bCs/>
          <w:sz w:val="22"/>
          <w:szCs w:val="22"/>
        </w:rPr>
        <w:t>ARACI HİZMET SAĞLAYICININ HUKUKİ TANIMI</w:t>
      </w:r>
    </w:p>
    <w:p w14:paraId="14CFE0EF" w14:textId="07E74B79" w:rsidR="008822C7" w:rsidRPr="00EB2DC8" w:rsidRDefault="008822C7" w:rsidP="008822C7">
      <w:pPr>
        <w:jc w:val="both"/>
        <w:rPr>
          <w:rFonts w:ascii="Times New Roman" w:hAnsi="Times New Roman" w:cs="Times New Roman"/>
          <w:sz w:val="22"/>
          <w:szCs w:val="22"/>
        </w:rPr>
      </w:pPr>
      <w:r w:rsidRPr="00EB2DC8">
        <w:rPr>
          <w:rFonts w:ascii="Times New Roman" w:hAnsi="Times New Roman" w:cs="Times New Roman"/>
          <w:sz w:val="22"/>
          <w:szCs w:val="22"/>
        </w:rPr>
        <w:t xml:space="preserve">Yönetmelik’in 4. </w:t>
      </w:r>
      <w:r w:rsidR="000D41D2" w:rsidRPr="00EB2DC8">
        <w:rPr>
          <w:rFonts w:ascii="Times New Roman" w:hAnsi="Times New Roman" w:cs="Times New Roman"/>
          <w:sz w:val="22"/>
          <w:szCs w:val="22"/>
        </w:rPr>
        <w:t>M</w:t>
      </w:r>
      <w:r w:rsidRPr="00EB2DC8">
        <w:rPr>
          <w:rFonts w:ascii="Times New Roman" w:hAnsi="Times New Roman" w:cs="Times New Roman"/>
          <w:sz w:val="22"/>
          <w:szCs w:val="22"/>
        </w:rPr>
        <w:t>addesi tanımlar başlığı altında şu önemli hususlar belirlenmiştir:</w:t>
      </w:r>
    </w:p>
    <w:p w14:paraId="05F4FD7B" w14:textId="77F594D1" w:rsidR="008822C7" w:rsidRPr="00EB2DC8" w:rsidRDefault="008822C7" w:rsidP="008822C7">
      <w:pPr>
        <w:numPr>
          <w:ilvl w:val="0"/>
          <w:numId w:val="12"/>
        </w:numPr>
        <w:jc w:val="both"/>
        <w:rPr>
          <w:rFonts w:ascii="Times New Roman" w:hAnsi="Times New Roman" w:cs="Times New Roman"/>
          <w:sz w:val="22"/>
          <w:szCs w:val="22"/>
        </w:rPr>
      </w:pPr>
      <w:r w:rsidRPr="00EB2DC8">
        <w:rPr>
          <w:rFonts w:ascii="Times New Roman" w:hAnsi="Times New Roman" w:cs="Times New Roman"/>
          <w:sz w:val="22"/>
          <w:szCs w:val="22"/>
        </w:rPr>
        <w:t xml:space="preserve">“Aracılık hizmeti”, elektronik ticaret </w:t>
      </w:r>
      <w:r w:rsidR="000D41D2" w:rsidRPr="00EB2DC8">
        <w:rPr>
          <w:rFonts w:ascii="Times New Roman" w:hAnsi="Times New Roman" w:cs="Times New Roman"/>
          <w:sz w:val="22"/>
          <w:szCs w:val="22"/>
        </w:rPr>
        <w:t>P</w:t>
      </w:r>
      <w:r w:rsidRPr="00EB2DC8">
        <w:rPr>
          <w:rFonts w:ascii="Times New Roman" w:hAnsi="Times New Roman" w:cs="Times New Roman"/>
          <w:sz w:val="22"/>
          <w:szCs w:val="22"/>
        </w:rPr>
        <w:t xml:space="preserve">azar yerinde, ETAHS tarafından ETHS veya alıcıya sunulan her türlü hizmeti ifade eder. </w:t>
      </w:r>
    </w:p>
    <w:p w14:paraId="22AD0431" w14:textId="771990FE" w:rsidR="008822C7" w:rsidRPr="00EB2DC8" w:rsidRDefault="008822C7" w:rsidP="008822C7">
      <w:pPr>
        <w:numPr>
          <w:ilvl w:val="0"/>
          <w:numId w:val="12"/>
        </w:numPr>
        <w:jc w:val="both"/>
        <w:rPr>
          <w:rFonts w:ascii="Times New Roman" w:hAnsi="Times New Roman" w:cs="Times New Roman"/>
          <w:sz w:val="22"/>
          <w:szCs w:val="22"/>
        </w:rPr>
      </w:pPr>
      <w:r w:rsidRPr="00EB2DC8">
        <w:rPr>
          <w:rFonts w:ascii="Times New Roman" w:hAnsi="Times New Roman" w:cs="Times New Roman"/>
          <w:sz w:val="22"/>
          <w:szCs w:val="22"/>
        </w:rPr>
        <w:t xml:space="preserve">“Elektronik ticaret aracı hizmet sağlayıcı”, elektronik ticaret </w:t>
      </w:r>
      <w:r w:rsidR="000D41D2" w:rsidRPr="00EB2DC8">
        <w:rPr>
          <w:rFonts w:ascii="Times New Roman" w:hAnsi="Times New Roman" w:cs="Times New Roman"/>
          <w:sz w:val="22"/>
          <w:szCs w:val="22"/>
        </w:rPr>
        <w:t>P</w:t>
      </w:r>
      <w:r w:rsidRPr="00EB2DC8">
        <w:rPr>
          <w:rFonts w:ascii="Times New Roman" w:hAnsi="Times New Roman" w:cs="Times New Roman"/>
          <w:sz w:val="22"/>
          <w:szCs w:val="22"/>
        </w:rPr>
        <w:t xml:space="preserve">azar yerinde </w:t>
      </w:r>
      <w:proofErr w:type="spellStart"/>
      <w:r w:rsidRPr="00EB2DC8">
        <w:rPr>
          <w:rFonts w:ascii="Times New Roman" w:hAnsi="Times New Roman" w:cs="Times New Roman"/>
          <w:sz w:val="22"/>
          <w:szCs w:val="22"/>
        </w:rPr>
        <w:t>ETHS’lerin</w:t>
      </w:r>
      <w:proofErr w:type="spellEnd"/>
      <w:r w:rsidRPr="00EB2DC8">
        <w:rPr>
          <w:rFonts w:ascii="Times New Roman" w:hAnsi="Times New Roman" w:cs="Times New Roman"/>
          <w:sz w:val="22"/>
          <w:szCs w:val="22"/>
        </w:rPr>
        <w:t xml:space="preserve"> mal veya hizmetlerini teminine yönelik sözleşme yapılmasına veya sipariş verilmesine imkân sağlayan aracı hizmet sağlayıcıdır. </w:t>
      </w:r>
    </w:p>
    <w:p w14:paraId="6286A198" w14:textId="628AE435" w:rsidR="008822C7" w:rsidRPr="00EB2DC8" w:rsidRDefault="008822C7" w:rsidP="008822C7">
      <w:pPr>
        <w:jc w:val="both"/>
        <w:rPr>
          <w:rFonts w:ascii="Times New Roman" w:hAnsi="Times New Roman" w:cs="Times New Roman"/>
          <w:sz w:val="22"/>
          <w:szCs w:val="22"/>
        </w:rPr>
      </w:pPr>
      <w:r w:rsidRPr="00EB2DC8">
        <w:rPr>
          <w:rFonts w:ascii="Times New Roman" w:hAnsi="Times New Roman" w:cs="Times New Roman"/>
          <w:sz w:val="22"/>
          <w:szCs w:val="22"/>
        </w:rPr>
        <w:t xml:space="preserve">Bu yönleriyle aracı hizmet sağlayıcı, sadece teknik altyapı sunan bir taraf değil; </w:t>
      </w:r>
      <w:r w:rsidR="000D41D2" w:rsidRPr="00EB2DC8">
        <w:rPr>
          <w:rFonts w:ascii="Times New Roman" w:hAnsi="Times New Roman" w:cs="Times New Roman"/>
          <w:sz w:val="22"/>
          <w:szCs w:val="22"/>
        </w:rPr>
        <w:t>P</w:t>
      </w:r>
      <w:r w:rsidRPr="00EB2DC8">
        <w:rPr>
          <w:rFonts w:ascii="Times New Roman" w:hAnsi="Times New Roman" w:cs="Times New Roman"/>
          <w:sz w:val="22"/>
          <w:szCs w:val="22"/>
        </w:rPr>
        <w:t>azar yerinin işleyişinin hukuki çerçevesinde şekillenmesine katkı veren bir aktör olarak değerlendirilmelidir.</w:t>
      </w:r>
    </w:p>
    <w:p w14:paraId="61F21D3B" w14:textId="77777777" w:rsidR="008822C7" w:rsidRPr="00EB2DC8" w:rsidRDefault="008822C7" w:rsidP="008822C7">
      <w:pPr>
        <w:jc w:val="both"/>
        <w:rPr>
          <w:rFonts w:ascii="Times New Roman" w:hAnsi="Times New Roman" w:cs="Times New Roman"/>
          <w:sz w:val="22"/>
          <w:szCs w:val="22"/>
        </w:rPr>
      </w:pPr>
      <w:r w:rsidRPr="00EB2DC8">
        <w:rPr>
          <w:rFonts w:ascii="Times New Roman" w:hAnsi="Times New Roman" w:cs="Times New Roman"/>
          <w:sz w:val="22"/>
          <w:szCs w:val="22"/>
        </w:rPr>
        <w:t xml:space="preserve">Yönetmelik ayrıca ölçek bazında sınıflama yapmıştır: orta ölçekli, büyük ölçekli ve çok büyük ölçekli ETAHS gibi. Bu sınıflamalar, </w:t>
      </w:r>
      <w:proofErr w:type="spellStart"/>
      <w:r w:rsidRPr="00EB2DC8">
        <w:rPr>
          <w:rFonts w:ascii="Times New Roman" w:hAnsi="Times New Roman" w:cs="Times New Roman"/>
          <w:sz w:val="22"/>
          <w:szCs w:val="22"/>
        </w:rPr>
        <w:t>ETAHS’nin</w:t>
      </w:r>
      <w:proofErr w:type="spellEnd"/>
      <w:r w:rsidRPr="00EB2DC8">
        <w:rPr>
          <w:rFonts w:ascii="Times New Roman" w:hAnsi="Times New Roman" w:cs="Times New Roman"/>
          <w:sz w:val="22"/>
          <w:szCs w:val="22"/>
        </w:rPr>
        <w:t xml:space="preserve"> net işlem hacmi ve sipariş sayısı ölçütlerine göre belirlenmiştir. Bu sınıflamalar, yükümlülüklerin düzeyini ve denetim gerekliliklerini de etkilemektedir.</w:t>
      </w:r>
    </w:p>
    <w:p w14:paraId="2058588C" w14:textId="77777777" w:rsidR="008822C7" w:rsidRPr="00EB2DC8" w:rsidRDefault="008822C7" w:rsidP="008822C7">
      <w:pPr>
        <w:pStyle w:val="ListeParagraf"/>
        <w:numPr>
          <w:ilvl w:val="0"/>
          <w:numId w:val="17"/>
        </w:numPr>
        <w:jc w:val="both"/>
        <w:rPr>
          <w:rFonts w:ascii="Times New Roman" w:hAnsi="Times New Roman" w:cs="Times New Roman"/>
          <w:b/>
          <w:bCs/>
          <w:sz w:val="22"/>
          <w:szCs w:val="22"/>
        </w:rPr>
      </w:pPr>
      <w:r w:rsidRPr="00EB2DC8">
        <w:rPr>
          <w:rFonts w:ascii="Times New Roman" w:hAnsi="Times New Roman" w:cs="Times New Roman"/>
          <w:b/>
          <w:bCs/>
          <w:sz w:val="22"/>
          <w:szCs w:val="22"/>
        </w:rPr>
        <w:t>ARACI HİZMET SAĞLAYICININ YÜKÜMLÜLÜKLERİ</w:t>
      </w:r>
    </w:p>
    <w:p w14:paraId="7849ACDA" w14:textId="77777777" w:rsidR="008822C7" w:rsidRPr="00EB2DC8" w:rsidRDefault="008822C7" w:rsidP="008822C7">
      <w:pPr>
        <w:jc w:val="both"/>
        <w:rPr>
          <w:rFonts w:ascii="Times New Roman" w:hAnsi="Times New Roman" w:cs="Times New Roman"/>
          <w:sz w:val="22"/>
          <w:szCs w:val="22"/>
        </w:rPr>
      </w:pPr>
      <w:r w:rsidRPr="00EB2DC8">
        <w:rPr>
          <w:rFonts w:ascii="Times New Roman" w:hAnsi="Times New Roman" w:cs="Times New Roman"/>
          <w:sz w:val="22"/>
          <w:szCs w:val="22"/>
        </w:rPr>
        <w:t xml:space="preserve">Yönetmelik, </w:t>
      </w:r>
      <w:proofErr w:type="spellStart"/>
      <w:r w:rsidRPr="00EB2DC8">
        <w:rPr>
          <w:rFonts w:ascii="Times New Roman" w:hAnsi="Times New Roman" w:cs="Times New Roman"/>
          <w:sz w:val="22"/>
          <w:szCs w:val="22"/>
        </w:rPr>
        <w:t>ETAHS’ye</w:t>
      </w:r>
      <w:proofErr w:type="spellEnd"/>
      <w:r w:rsidRPr="00EB2DC8">
        <w:rPr>
          <w:rFonts w:ascii="Times New Roman" w:hAnsi="Times New Roman" w:cs="Times New Roman"/>
          <w:sz w:val="22"/>
          <w:szCs w:val="22"/>
        </w:rPr>
        <w:t xml:space="preserve"> bir dizi yükümlülük yüklemektedir. Bunların başlıcaları şöyle özetlenebilir:</w:t>
      </w:r>
    </w:p>
    <w:p w14:paraId="3D7917AA" w14:textId="77777777" w:rsidR="008822C7" w:rsidRPr="00EB2DC8" w:rsidRDefault="008822C7" w:rsidP="008822C7">
      <w:pPr>
        <w:pStyle w:val="ListeParagraf"/>
        <w:numPr>
          <w:ilvl w:val="0"/>
          <w:numId w:val="18"/>
        </w:numPr>
        <w:jc w:val="both"/>
        <w:rPr>
          <w:rFonts w:ascii="Times New Roman" w:hAnsi="Times New Roman" w:cs="Times New Roman"/>
          <w:b/>
          <w:bCs/>
          <w:sz w:val="22"/>
          <w:szCs w:val="22"/>
        </w:rPr>
      </w:pPr>
      <w:r w:rsidRPr="00EB2DC8">
        <w:rPr>
          <w:rFonts w:ascii="Times New Roman" w:hAnsi="Times New Roman" w:cs="Times New Roman"/>
          <w:b/>
          <w:bCs/>
          <w:sz w:val="22"/>
          <w:szCs w:val="22"/>
        </w:rPr>
        <w:lastRenderedPageBreak/>
        <w:t>Bilgi Verme ve Doğrulama Yükümlülüğü</w:t>
      </w:r>
    </w:p>
    <w:p w14:paraId="698DA0F5" w14:textId="0FDBADF8" w:rsidR="008822C7" w:rsidRPr="00EB2DC8" w:rsidRDefault="008822C7" w:rsidP="008822C7">
      <w:pPr>
        <w:numPr>
          <w:ilvl w:val="0"/>
          <w:numId w:val="13"/>
        </w:numPr>
        <w:jc w:val="both"/>
        <w:rPr>
          <w:rFonts w:ascii="Times New Roman" w:hAnsi="Times New Roman" w:cs="Times New Roman"/>
          <w:sz w:val="22"/>
          <w:szCs w:val="22"/>
        </w:rPr>
      </w:pPr>
      <w:r w:rsidRPr="00EB2DC8">
        <w:rPr>
          <w:rFonts w:ascii="Times New Roman" w:hAnsi="Times New Roman" w:cs="Times New Roman"/>
          <w:sz w:val="22"/>
          <w:szCs w:val="22"/>
        </w:rPr>
        <w:t xml:space="preserve">Yönetmelik madde 6 uyarınca, ETAHS elektronik ticaret </w:t>
      </w:r>
      <w:r w:rsidR="000D41D2" w:rsidRPr="00EB2DC8">
        <w:rPr>
          <w:rFonts w:ascii="Times New Roman" w:hAnsi="Times New Roman" w:cs="Times New Roman"/>
          <w:sz w:val="22"/>
          <w:szCs w:val="22"/>
        </w:rPr>
        <w:t>P</w:t>
      </w:r>
      <w:r w:rsidRPr="00EB2DC8">
        <w:rPr>
          <w:rFonts w:ascii="Times New Roman" w:hAnsi="Times New Roman" w:cs="Times New Roman"/>
          <w:sz w:val="22"/>
          <w:szCs w:val="22"/>
        </w:rPr>
        <w:t>azar yerinin ana sayfasında doğrudan ulaşılabilecek şekilde “iletişim” başlığı altında ticaret unvanı, MERSİS numarası, merkez adresi, KEP adresi, elektronik posta, telefon numarası ve varsa tescilli marka bilgilerini eksiksiz olarak bulundurmak zorundadır.</w:t>
      </w:r>
    </w:p>
    <w:p w14:paraId="7964CCCA" w14:textId="77777777" w:rsidR="008822C7" w:rsidRPr="00EB2DC8" w:rsidRDefault="008822C7" w:rsidP="008822C7">
      <w:pPr>
        <w:numPr>
          <w:ilvl w:val="0"/>
          <w:numId w:val="13"/>
        </w:numPr>
        <w:jc w:val="both"/>
        <w:rPr>
          <w:rFonts w:ascii="Times New Roman" w:hAnsi="Times New Roman" w:cs="Times New Roman"/>
          <w:sz w:val="22"/>
          <w:szCs w:val="22"/>
        </w:rPr>
      </w:pPr>
      <w:r w:rsidRPr="00EB2DC8">
        <w:rPr>
          <w:rFonts w:ascii="Times New Roman" w:hAnsi="Times New Roman" w:cs="Times New Roman"/>
          <w:sz w:val="22"/>
          <w:szCs w:val="22"/>
        </w:rPr>
        <w:t xml:space="preserve">ETAHS ayrıca, aracılık hizmeti sunduğu </w:t>
      </w:r>
      <w:proofErr w:type="spellStart"/>
      <w:r w:rsidRPr="00EB2DC8">
        <w:rPr>
          <w:rFonts w:ascii="Times New Roman" w:hAnsi="Times New Roman" w:cs="Times New Roman"/>
          <w:sz w:val="22"/>
          <w:szCs w:val="22"/>
        </w:rPr>
        <w:t>ETHS’ye</w:t>
      </w:r>
      <w:proofErr w:type="spellEnd"/>
      <w:r w:rsidRPr="00EB2DC8">
        <w:rPr>
          <w:rFonts w:ascii="Times New Roman" w:hAnsi="Times New Roman" w:cs="Times New Roman"/>
          <w:sz w:val="22"/>
          <w:szCs w:val="22"/>
        </w:rPr>
        <w:t xml:space="preserve"> ilişkin tanıtıcı bilgilerin doğruluğunu kontrol etme ve güncel tutma yükümlülüğünü taşımaktadır. Bu doğrulama yılda en az bir kere yapılmalıdır. </w:t>
      </w:r>
    </w:p>
    <w:p w14:paraId="2B114FE7" w14:textId="77777777" w:rsidR="008822C7" w:rsidRPr="00EB2DC8" w:rsidRDefault="008822C7" w:rsidP="008822C7">
      <w:pPr>
        <w:jc w:val="both"/>
        <w:rPr>
          <w:rFonts w:ascii="Times New Roman" w:hAnsi="Times New Roman" w:cs="Times New Roman"/>
          <w:sz w:val="22"/>
          <w:szCs w:val="22"/>
        </w:rPr>
      </w:pPr>
      <w:r w:rsidRPr="00EB2DC8">
        <w:rPr>
          <w:rFonts w:ascii="Times New Roman" w:hAnsi="Times New Roman" w:cs="Times New Roman"/>
          <w:sz w:val="22"/>
          <w:szCs w:val="22"/>
        </w:rPr>
        <w:t>Bu yükümlülükler, platformun şeffaflığı ve satıcı-alıcı mecra arasındaki güvenin sağlanması açısından kritik önemdedir.</w:t>
      </w:r>
    </w:p>
    <w:p w14:paraId="523327C2" w14:textId="77777777" w:rsidR="008822C7" w:rsidRPr="00EB2DC8" w:rsidRDefault="008822C7" w:rsidP="008822C7">
      <w:pPr>
        <w:pStyle w:val="ListeParagraf"/>
        <w:numPr>
          <w:ilvl w:val="0"/>
          <w:numId w:val="18"/>
        </w:numPr>
        <w:jc w:val="both"/>
        <w:rPr>
          <w:rFonts w:ascii="Times New Roman" w:hAnsi="Times New Roman" w:cs="Times New Roman"/>
          <w:b/>
          <w:bCs/>
          <w:sz w:val="22"/>
          <w:szCs w:val="22"/>
        </w:rPr>
      </w:pPr>
      <w:r w:rsidRPr="00EB2DC8">
        <w:rPr>
          <w:rFonts w:ascii="Times New Roman" w:hAnsi="Times New Roman" w:cs="Times New Roman"/>
          <w:b/>
          <w:bCs/>
          <w:sz w:val="22"/>
          <w:szCs w:val="22"/>
        </w:rPr>
        <w:t>Aracılık Sözleşmesi Yükümlülükleri</w:t>
      </w:r>
    </w:p>
    <w:p w14:paraId="0F892B53" w14:textId="17983858" w:rsidR="008822C7" w:rsidRPr="00EB2DC8" w:rsidRDefault="008822C7" w:rsidP="008822C7">
      <w:pPr>
        <w:jc w:val="both"/>
        <w:rPr>
          <w:rFonts w:ascii="Times New Roman" w:hAnsi="Times New Roman" w:cs="Times New Roman"/>
          <w:sz w:val="22"/>
          <w:szCs w:val="22"/>
        </w:rPr>
      </w:pPr>
      <w:r w:rsidRPr="00EB2DC8">
        <w:rPr>
          <w:rFonts w:ascii="Times New Roman" w:hAnsi="Times New Roman" w:cs="Times New Roman"/>
          <w:sz w:val="22"/>
          <w:szCs w:val="22"/>
        </w:rPr>
        <w:t xml:space="preserve">Yönetmelik 15. </w:t>
      </w:r>
      <w:r w:rsidR="000D41D2" w:rsidRPr="00EB2DC8">
        <w:rPr>
          <w:rFonts w:ascii="Times New Roman" w:hAnsi="Times New Roman" w:cs="Times New Roman"/>
          <w:sz w:val="22"/>
          <w:szCs w:val="22"/>
        </w:rPr>
        <w:t>M</w:t>
      </w:r>
      <w:r w:rsidRPr="00EB2DC8">
        <w:rPr>
          <w:rFonts w:ascii="Times New Roman" w:hAnsi="Times New Roman" w:cs="Times New Roman"/>
          <w:sz w:val="22"/>
          <w:szCs w:val="22"/>
        </w:rPr>
        <w:t>addesi, ETAHS ile ETHS arasındaki ticari ilişkilerde aracılık sözleşmesinin asgari unsurlarını belirler. Bunlar arasında şunlar yer alır:</w:t>
      </w:r>
    </w:p>
    <w:p w14:paraId="1C4FCD92" w14:textId="77777777" w:rsidR="008822C7" w:rsidRPr="00EB2DC8" w:rsidRDefault="008822C7" w:rsidP="008822C7">
      <w:pPr>
        <w:numPr>
          <w:ilvl w:val="0"/>
          <w:numId w:val="14"/>
        </w:numPr>
        <w:jc w:val="both"/>
        <w:rPr>
          <w:rFonts w:ascii="Times New Roman" w:hAnsi="Times New Roman" w:cs="Times New Roman"/>
          <w:sz w:val="22"/>
          <w:szCs w:val="22"/>
        </w:rPr>
      </w:pPr>
      <w:r w:rsidRPr="00EB2DC8">
        <w:rPr>
          <w:rFonts w:ascii="Times New Roman" w:hAnsi="Times New Roman" w:cs="Times New Roman"/>
          <w:sz w:val="22"/>
          <w:szCs w:val="22"/>
        </w:rPr>
        <w:t>Aracılık hizmetinin niteliği, bedeli ve değişme koşulları.</w:t>
      </w:r>
    </w:p>
    <w:p w14:paraId="3C8E1947" w14:textId="77777777" w:rsidR="008822C7" w:rsidRPr="00EB2DC8" w:rsidRDefault="008822C7" w:rsidP="008822C7">
      <w:pPr>
        <w:numPr>
          <w:ilvl w:val="0"/>
          <w:numId w:val="14"/>
        </w:numPr>
        <w:jc w:val="both"/>
        <w:rPr>
          <w:rFonts w:ascii="Times New Roman" w:hAnsi="Times New Roman" w:cs="Times New Roman"/>
          <w:sz w:val="22"/>
          <w:szCs w:val="22"/>
        </w:rPr>
      </w:pPr>
      <w:r w:rsidRPr="00EB2DC8">
        <w:rPr>
          <w:rFonts w:ascii="Times New Roman" w:hAnsi="Times New Roman" w:cs="Times New Roman"/>
          <w:sz w:val="22"/>
          <w:szCs w:val="22"/>
        </w:rPr>
        <w:t xml:space="preserve">Mal veya hizmetlerin sıralanmasında veya tavsiyesinde kullanılan parametreler ile sıralamanın karşılığında doğrudan ya da dolaylı bedel ödenmesi halinde bu durumun açıklanması. </w:t>
      </w:r>
    </w:p>
    <w:p w14:paraId="326C9E52" w14:textId="77777777" w:rsidR="008822C7" w:rsidRPr="00EB2DC8" w:rsidRDefault="008822C7" w:rsidP="008822C7">
      <w:pPr>
        <w:numPr>
          <w:ilvl w:val="0"/>
          <w:numId w:val="14"/>
        </w:numPr>
        <w:jc w:val="both"/>
        <w:rPr>
          <w:rFonts w:ascii="Times New Roman" w:hAnsi="Times New Roman" w:cs="Times New Roman"/>
          <w:sz w:val="22"/>
          <w:szCs w:val="22"/>
        </w:rPr>
      </w:pPr>
      <w:r w:rsidRPr="00EB2DC8">
        <w:rPr>
          <w:rFonts w:ascii="Times New Roman" w:hAnsi="Times New Roman" w:cs="Times New Roman"/>
          <w:sz w:val="22"/>
          <w:szCs w:val="22"/>
        </w:rPr>
        <w:t>Aracılık sözleşmesinin ETHS tarafından kolayca erişilebilir şekilde dâhili iletişim sistemi üzerinden saklanmasına ilişkin bilgi.</w:t>
      </w:r>
    </w:p>
    <w:p w14:paraId="0C028E5A" w14:textId="77777777" w:rsidR="008822C7" w:rsidRPr="00EB2DC8" w:rsidRDefault="008822C7" w:rsidP="008822C7">
      <w:pPr>
        <w:jc w:val="both"/>
        <w:rPr>
          <w:rFonts w:ascii="Times New Roman" w:hAnsi="Times New Roman" w:cs="Times New Roman"/>
          <w:sz w:val="22"/>
          <w:szCs w:val="22"/>
        </w:rPr>
      </w:pPr>
      <w:r w:rsidRPr="00EB2DC8">
        <w:rPr>
          <w:rFonts w:ascii="Times New Roman" w:hAnsi="Times New Roman" w:cs="Times New Roman"/>
          <w:sz w:val="22"/>
          <w:szCs w:val="22"/>
        </w:rPr>
        <w:t>Bu düzenleme, aracılık platformlarının satıcılarla ilişkilerini tek taraflı ve muğlak koşullarla belirlemesini önlemeye yöneliktir.</w:t>
      </w:r>
    </w:p>
    <w:p w14:paraId="591BCF03" w14:textId="77777777" w:rsidR="008822C7" w:rsidRPr="00EB2DC8" w:rsidRDefault="008822C7" w:rsidP="008822C7">
      <w:pPr>
        <w:pStyle w:val="ListeParagraf"/>
        <w:numPr>
          <w:ilvl w:val="0"/>
          <w:numId w:val="18"/>
        </w:numPr>
        <w:jc w:val="both"/>
        <w:rPr>
          <w:rFonts w:ascii="Times New Roman" w:hAnsi="Times New Roman" w:cs="Times New Roman"/>
          <w:b/>
          <w:bCs/>
          <w:sz w:val="22"/>
          <w:szCs w:val="22"/>
        </w:rPr>
      </w:pPr>
      <w:r w:rsidRPr="00EB2DC8">
        <w:rPr>
          <w:rFonts w:ascii="Times New Roman" w:hAnsi="Times New Roman" w:cs="Times New Roman"/>
          <w:b/>
          <w:bCs/>
          <w:sz w:val="22"/>
          <w:szCs w:val="22"/>
        </w:rPr>
        <w:t>Veri Kullanımı ve Paylaşımı Yükümlülüğü</w:t>
      </w:r>
    </w:p>
    <w:p w14:paraId="1AE18866" w14:textId="77777777" w:rsidR="008822C7" w:rsidRPr="00EB2DC8" w:rsidRDefault="008822C7" w:rsidP="008822C7">
      <w:pPr>
        <w:jc w:val="both"/>
        <w:rPr>
          <w:rFonts w:ascii="Times New Roman" w:hAnsi="Times New Roman" w:cs="Times New Roman"/>
          <w:sz w:val="22"/>
          <w:szCs w:val="22"/>
        </w:rPr>
      </w:pPr>
      <w:r w:rsidRPr="00EB2DC8">
        <w:rPr>
          <w:rFonts w:ascii="Times New Roman" w:hAnsi="Times New Roman" w:cs="Times New Roman"/>
          <w:sz w:val="22"/>
          <w:szCs w:val="22"/>
        </w:rPr>
        <w:t>Yönetmelik madde 21, orta, büyük ve çok büyük ölçekli ETAHS için özel veri kullanımı ve paylaşımı yükümlülükleri öngörür. Örneğin:</w:t>
      </w:r>
    </w:p>
    <w:p w14:paraId="593A7085" w14:textId="77777777" w:rsidR="008822C7" w:rsidRPr="00EB2DC8" w:rsidRDefault="008822C7" w:rsidP="008822C7">
      <w:pPr>
        <w:numPr>
          <w:ilvl w:val="0"/>
          <w:numId w:val="15"/>
        </w:numPr>
        <w:jc w:val="both"/>
        <w:rPr>
          <w:rFonts w:ascii="Times New Roman" w:hAnsi="Times New Roman" w:cs="Times New Roman"/>
          <w:sz w:val="22"/>
          <w:szCs w:val="22"/>
        </w:rPr>
      </w:pPr>
      <w:r w:rsidRPr="00EB2DC8">
        <w:rPr>
          <w:rFonts w:ascii="Times New Roman" w:hAnsi="Times New Roman" w:cs="Times New Roman"/>
          <w:sz w:val="22"/>
          <w:szCs w:val="22"/>
        </w:rPr>
        <w:t xml:space="preserve">ETAHS, ETHS veya alıcıdan elde ettiği verileri sadece aracılık hizmetinin sunulması ve geliştirilmesi amacıyla kullanabilir. </w:t>
      </w:r>
    </w:p>
    <w:p w14:paraId="31FB7263" w14:textId="77777777" w:rsidR="008822C7" w:rsidRPr="00EB2DC8" w:rsidRDefault="008822C7" w:rsidP="008822C7">
      <w:pPr>
        <w:numPr>
          <w:ilvl w:val="0"/>
          <w:numId w:val="15"/>
        </w:numPr>
        <w:jc w:val="both"/>
        <w:rPr>
          <w:rFonts w:ascii="Times New Roman" w:hAnsi="Times New Roman" w:cs="Times New Roman"/>
          <w:sz w:val="22"/>
          <w:szCs w:val="22"/>
        </w:rPr>
      </w:pPr>
      <w:r w:rsidRPr="00EB2DC8">
        <w:rPr>
          <w:rFonts w:ascii="Times New Roman" w:hAnsi="Times New Roman" w:cs="Times New Roman"/>
          <w:sz w:val="22"/>
          <w:szCs w:val="22"/>
        </w:rPr>
        <w:t xml:space="preserve">ETAHS, ETHS olarak da faaliyet gösteriyorsa veya ekonomik bütünlük içinde bulunduğu ETHS üzerinden rekabet edemez. </w:t>
      </w:r>
    </w:p>
    <w:p w14:paraId="1660122A" w14:textId="77777777" w:rsidR="008822C7" w:rsidRPr="00EB2DC8" w:rsidRDefault="008822C7" w:rsidP="008822C7">
      <w:pPr>
        <w:numPr>
          <w:ilvl w:val="0"/>
          <w:numId w:val="15"/>
        </w:numPr>
        <w:jc w:val="both"/>
        <w:rPr>
          <w:rFonts w:ascii="Times New Roman" w:hAnsi="Times New Roman" w:cs="Times New Roman"/>
          <w:sz w:val="22"/>
          <w:szCs w:val="22"/>
        </w:rPr>
      </w:pPr>
      <w:r w:rsidRPr="00EB2DC8">
        <w:rPr>
          <w:rFonts w:ascii="Times New Roman" w:hAnsi="Times New Roman" w:cs="Times New Roman"/>
          <w:sz w:val="22"/>
          <w:szCs w:val="22"/>
        </w:rPr>
        <w:t>Ayrıca satıcının talebi halinde, sözleşme süresince veya sona erdikten sonra belirli verileri bedelsiz ve etkin şekilde taşınabilir halde sunma teknik imkânını sağlama yükümlülüğü vardır.</w:t>
      </w:r>
    </w:p>
    <w:p w14:paraId="7EA592B2" w14:textId="77777777" w:rsidR="008822C7" w:rsidRPr="00EB2DC8" w:rsidRDefault="008822C7" w:rsidP="008822C7">
      <w:pPr>
        <w:jc w:val="both"/>
        <w:rPr>
          <w:rFonts w:ascii="Times New Roman" w:hAnsi="Times New Roman" w:cs="Times New Roman"/>
          <w:sz w:val="22"/>
          <w:szCs w:val="22"/>
        </w:rPr>
      </w:pPr>
      <w:r w:rsidRPr="00EB2DC8">
        <w:rPr>
          <w:rFonts w:ascii="Times New Roman" w:hAnsi="Times New Roman" w:cs="Times New Roman"/>
          <w:sz w:val="22"/>
          <w:szCs w:val="22"/>
        </w:rPr>
        <w:t>Bu yükümlülükler, dijital platformlardaki veri hâkimiyetinin kötüye kullanılmasını önlemeye dönük önemli bir düzenlemedir.</w:t>
      </w:r>
    </w:p>
    <w:p w14:paraId="30F9B4C5" w14:textId="77777777" w:rsidR="008822C7" w:rsidRPr="00EB2DC8" w:rsidRDefault="008822C7" w:rsidP="008822C7">
      <w:pPr>
        <w:pStyle w:val="ListeParagraf"/>
        <w:numPr>
          <w:ilvl w:val="0"/>
          <w:numId w:val="18"/>
        </w:numPr>
        <w:jc w:val="both"/>
        <w:rPr>
          <w:rFonts w:ascii="Times New Roman" w:hAnsi="Times New Roman" w:cs="Times New Roman"/>
          <w:b/>
          <w:bCs/>
          <w:sz w:val="22"/>
          <w:szCs w:val="22"/>
        </w:rPr>
      </w:pPr>
      <w:r w:rsidRPr="00EB2DC8">
        <w:rPr>
          <w:rFonts w:ascii="Times New Roman" w:hAnsi="Times New Roman" w:cs="Times New Roman"/>
          <w:b/>
          <w:bCs/>
          <w:sz w:val="22"/>
          <w:szCs w:val="22"/>
        </w:rPr>
        <w:t>Hukuka Aykırı İçerik ve Haksız Ticari Uygulamalara Müdahale</w:t>
      </w:r>
    </w:p>
    <w:p w14:paraId="7698B803" w14:textId="77777777" w:rsidR="008822C7" w:rsidRPr="00EB2DC8" w:rsidRDefault="008822C7" w:rsidP="008822C7">
      <w:pPr>
        <w:jc w:val="both"/>
        <w:rPr>
          <w:rFonts w:ascii="Times New Roman" w:hAnsi="Times New Roman" w:cs="Times New Roman"/>
          <w:sz w:val="22"/>
          <w:szCs w:val="22"/>
        </w:rPr>
      </w:pPr>
      <w:r w:rsidRPr="00EB2DC8">
        <w:rPr>
          <w:rFonts w:ascii="Times New Roman" w:hAnsi="Times New Roman" w:cs="Times New Roman"/>
          <w:sz w:val="22"/>
          <w:szCs w:val="22"/>
        </w:rPr>
        <w:t xml:space="preserve">Yönetmelik madde 10 ve madde 11 aracılığıyla, </w:t>
      </w:r>
      <w:proofErr w:type="spellStart"/>
      <w:r w:rsidRPr="00EB2DC8">
        <w:rPr>
          <w:rFonts w:ascii="Times New Roman" w:hAnsi="Times New Roman" w:cs="Times New Roman"/>
          <w:sz w:val="22"/>
          <w:szCs w:val="22"/>
        </w:rPr>
        <w:t>ETAHS’nin</w:t>
      </w:r>
      <w:proofErr w:type="spellEnd"/>
      <w:r w:rsidRPr="00EB2DC8">
        <w:rPr>
          <w:rFonts w:ascii="Times New Roman" w:hAnsi="Times New Roman" w:cs="Times New Roman"/>
          <w:sz w:val="22"/>
          <w:szCs w:val="22"/>
        </w:rPr>
        <w:t xml:space="preserve"> hukuka aykırı içerikten sorumluluğu belirlenmiştir:</w:t>
      </w:r>
    </w:p>
    <w:p w14:paraId="5BD8521C" w14:textId="77777777" w:rsidR="008822C7" w:rsidRPr="00EB2DC8" w:rsidRDefault="008822C7" w:rsidP="008822C7">
      <w:pPr>
        <w:numPr>
          <w:ilvl w:val="0"/>
          <w:numId w:val="16"/>
        </w:numPr>
        <w:jc w:val="both"/>
        <w:rPr>
          <w:rFonts w:ascii="Times New Roman" w:hAnsi="Times New Roman" w:cs="Times New Roman"/>
          <w:sz w:val="22"/>
          <w:szCs w:val="22"/>
        </w:rPr>
      </w:pPr>
      <w:r w:rsidRPr="00EB2DC8">
        <w:rPr>
          <w:rFonts w:ascii="Times New Roman" w:hAnsi="Times New Roman" w:cs="Times New Roman"/>
          <w:sz w:val="22"/>
          <w:szCs w:val="22"/>
        </w:rPr>
        <w:t xml:space="preserve">ETAHS, </w:t>
      </w:r>
      <w:proofErr w:type="spellStart"/>
      <w:r w:rsidRPr="00EB2DC8">
        <w:rPr>
          <w:rFonts w:ascii="Times New Roman" w:hAnsi="Times New Roman" w:cs="Times New Roman"/>
          <w:sz w:val="22"/>
          <w:szCs w:val="22"/>
        </w:rPr>
        <w:t>ETHS’nin</w:t>
      </w:r>
      <w:proofErr w:type="spellEnd"/>
      <w:r w:rsidRPr="00EB2DC8">
        <w:rPr>
          <w:rFonts w:ascii="Times New Roman" w:hAnsi="Times New Roman" w:cs="Times New Roman"/>
          <w:sz w:val="22"/>
          <w:szCs w:val="22"/>
        </w:rPr>
        <w:t xml:space="preserve"> sunduğu içerikten kural olarak doğrudan sorumlu değildir; ancak içerikten haberdar olduğunda 48 saat içinde yayından kaldırma yükümlülüğü vardır. </w:t>
      </w:r>
    </w:p>
    <w:p w14:paraId="14D2E24D" w14:textId="77777777" w:rsidR="008822C7" w:rsidRPr="00EB2DC8" w:rsidRDefault="008822C7" w:rsidP="008822C7">
      <w:pPr>
        <w:numPr>
          <w:ilvl w:val="0"/>
          <w:numId w:val="16"/>
        </w:numPr>
        <w:jc w:val="both"/>
        <w:rPr>
          <w:rFonts w:ascii="Times New Roman" w:hAnsi="Times New Roman" w:cs="Times New Roman"/>
          <w:sz w:val="22"/>
          <w:szCs w:val="22"/>
        </w:rPr>
      </w:pPr>
      <w:r w:rsidRPr="00EB2DC8">
        <w:rPr>
          <w:rFonts w:ascii="Times New Roman" w:hAnsi="Times New Roman" w:cs="Times New Roman"/>
          <w:sz w:val="22"/>
          <w:szCs w:val="22"/>
        </w:rPr>
        <w:lastRenderedPageBreak/>
        <w:t xml:space="preserve">Haksız ticari uygulamalara ilişkin olarak da </w:t>
      </w:r>
      <w:proofErr w:type="spellStart"/>
      <w:r w:rsidRPr="00EB2DC8">
        <w:rPr>
          <w:rFonts w:ascii="Times New Roman" w:hAnsi="Times New Roman" w:cs="Times New Roman"/>
          <w:sz w:val="22"/>
          <w:szCs w:val="22"/>
        </w:rPr>
        <w:t>ETAHS’nin</w:t>
      </w:r>
      <w:proofErr w:type="spellEnd"/>
      <w:r w:rsidRPr="00EB2DC8">
        <w:rPr>
          <w:rFonts w:ascii="Times New Roman" w:hAnsi="Times New Roman" w:cs="Times New Roman"/>
          <w:sz w:val="22"/>
          <w:szCs w:val="22"/>
        </w:rPr>
        <w:t xml:space="preserve"> satıcı ile ilişkisinde alıcıya karşı karar alma yeteneğini zayıflatacak uygulamalara imkân vermemesi gerekir. </w:t>
      </w:r>
    </w:p>
    <w:p w14:paraId="79406D8D" w14:textId="77777777" w:rsidR="008822C7" w:rsidRPr="00EB2DC8" w:rsidRDefault="008822C7" w:rsidP="008822C7">
      <w:pPr>
        <w:jc w:val="both"/>
        <w:rPr>
          <w:rFonts w:ascii="Times New Roman" w:hAnsi="Times New Roman" w:cs="Times New Roman"/>
          <w:sz w:val="22"/>
          <w:szCs w:val="22"/>
        </w:rPr>
      </w:pPr>
      <w:r w:rsidRPr="00EB2DC8">
        <w:rPr>
          <w:rFonts w:ascii="Times New Roman" w:hAnsi="Times New Roman" w:cs="Times New Roman"/>
          <w:sz w:val="22"/>
          <w:szCs w:val="22"/>
        </w:rPr>
        <w:t>Bu düzenleme, platformların yalnızca teknik altyapı sunan-unsuz aracı olmasını aşarak, kontrol ve gözetim mekanizmalarının işletilmesini zorunlu kılar.</w:t>
      </w:r>
    </w:p>
    <w:p w14:paraId="37B7A24D" w14:textId="77777777" w:rsidR="008822C7" w:rsidRPr="00EB2DC8" w:rsidRDefault="008822C7" w:rsidP="008822C7">
      <w:pPr>
        <w:pStyle w:val="ListeParagraf"/>
        <w:numPr>
          <w:ilvl w:val="0"/>
          <w:numId w:val="17"/>
        </w:numPr>
        <w:jc w:val="both"/>
        <w:rPr>
          <w:rFonts w:ascii="Times New Roman" w:hAnsi="Times New Roman" w:cs="Times New Roman"/>
          <w:b/>
          <w:bCs/>
          <w:sz w:val="22"/>
          <w:szCs w:val="22"/>
        </w:rPr>
      </w:pPr>
      <w:r w:rsidRPr="00EB2DC8">
        <w:rPr>
          <w:rFonts w:ascii="Times New Roman" w:hAnsi="Times New Roman" w:cs="Times New Roman"/>
          <w:b/>
          <w:bCs/>
          <w:sz w:val="22"/>
          <w:szCs w:val="22"/>
        </w:rPr>
        <w:t>ÖLÇEK BAZLI EK YÜKÜMLÜLÜKLER VE DENETİM</w:t>
      </w:r>
    </w:p>
    <w:p w14:paraId="1ADA22FD" w14:textId="123816F8" w:rsidR="008822C7" w:rsidRPr="00EB2DC8" w:rsidRDefault="008822C7" w:rsidP="008822C7">
      <w:pPr>
        <w:jc w:val="both"/>
        <w:rPr>
          <w:rFonts w:ascii="Times New Roman" w:hAnsi="Times New Roman" w:cs="Times New Roman"/>
          <w:sz w:val="22"/>
          <w:szCs w:val="22"/>
        </w:rPr>
      </w:pPr>
      <w:r w:rsidRPr="00EB2DC8">
        <w:rPr>
          <w:rFonts w:ascii="Times New Roman" w:hAnsi="Times New Roman" w:cs="Times New Roman"/>
          <w:sz w:val="22"/>
          <w:szCs w:val="22"/>
        </w:rPr>
        <w:t xml:space="preserve">Yönetmelik’in 23. </w:t>
      </w:r>
      <w:r w:rsidR="000D41D2" w:rsidRPr="00EB2DC8">
        <w:rPr>
          <w:rFonts w:ascii="Times New Roman" w:hAnsi="Times New Roman" w:cs="Times New Roman"/>
          <w:sz w:val="22"/>
          <w:szCs w:val="22"/>
        </w:rPr>
        <w:t>V</w:t>
      </w:r>
      <w:r w:rsidRPr="00EB2DC8">
        <w:rPr>
          <w:rFonts w:ascii="Times New Roman" w:hAnsi="Times New Roman" w:cs="Times New Roman"/>
          <w:sz w:val="22"/>
          <w:szCs w:val="22"/>
        </w:rPr>
        <w:t xml:space="preserve">e 24. </w:t>
      </w:r>
      <w:r w:rsidR="000D41D2" w:rsidRPr="00EB2DC8">
        <w:rPr>
          <w:rFonts w:ascii="Times New Roman" w:hAnsi="Times New Roman" w:cs="Times New Roman"/>
          <w:sz w:val="22"/>
          <w:szCs w:val="22"/>
        </w:rPr>
        <w:t>M</w:t>
      </w:r>
      <w:r w:rsidRPr="00EB2DC8">
        <w:rPr>
          <w:rFonts w:ascii="Times New Roman" w:hAnsi="Times New Roman" w:cs="Times New Roman"/>
          <w:sz w:val="22"/>
          <w:szCs w:val="22"/>
        </w:rPr>
        <w:t xml:space="preserve">addesi büyük ve çok büyük ölçekli ETAHS için bağımsız denetim, veri taşıma imkânı sağlama, aracılık sözleşmesi koşullarını daha geniş kapsamlı düzenleme gibi ek yükümlülükler öngörmektedir. Örneğin, bağımsız denetim raporlarında </w:t>
      </w:r>
      <w:proofErr w:type="spellStart"/>
      <w:r w:rsidRPr="00EB2DC8">
        <w:rPr>
          <w:rFonts w:ascii="Times New Roman" w:hAnsi="Times New Roman" w:cs="Times New Roman"/>
          <w:sz w:val="22"/>
          <w:szCs w:val="22"/>
        </w:rPr>
        <w:t>ETAHS’nin</w:t>
      </w:r>
      <w:proofErr w:type="spellEnd"/>
      <w:r w:rsidRPr="00EB2DC8">
        <w:rPr>
          <w:rFonts w:ascii="Times New Roman" w:hAnsi="Times New Roman" w:cs="Times New Roman"/>
          <w:sz w:val="22"/>
          <w:szCs w:val="22"/>
        </w:rPr>
        <w:t xml:space="preserve"> yönetim ve organizasyon yapısı, ekonomik bütünlüğündeki kişiler, elektronik ticaret ortamına ilişkin bilgiler gibi hususlar yer almalıdır. Bu yükümlülükler, platformların faaliyetlerinin sadece ticari değil, kurumsal ve denetimsel düzeyde de görünür olmasını hedefler.</w:t>
      </w:r>
    </w:p>
    <w:p w14:paraId="3D7D1489" w14:textId="77777777" w:rsidR="008822C7" w:rsidRPr="00EB2DC8" w:rsidRDefault="008822C7" w:rsidP="008822C7">
      <w:pPr>
        <w:pStyle w:val="ListeParagraf"/>
        <w:numPr>
          <w:ilvl w:val="0"/>
          <w:numId w:val="17"/>
        </w:numPr>
        <w:jc w:val="both"/>
        <w:rPr>
          <w:rFonts w:ascii="Times New Roman" w:hAnsi="Times New Roman" w:cs="Times New Roman"/>
          <w:b/>
          <w:bCs/>
          <w:sz w:val="22"/>
          <w:szCs w:val="22"/>
        </w:rPr>
      </w:pPr>
      <w:r w:rsidRPr="00EB2DC8">
        <w:rPr>
          <w:rFonts w:ascii="Times New Roman" w:hAnsi="Times New Roman" w:cs="Times New Roman"/>
          <w:b/>
          <w:bCs/>
          <w:sz w:val="22"/>
          <w:szCs w:val="22"/>
        </w:rPr>
        <w:t>SONUÇ</w:t>
      </w:r>
    </w:p>
    <w:p w14:paraId="02899055" w14:textId="77777777" w:rsidR="008822C7" w:rsidRPr="00EB2DC8" w:rsidRDefault="008822C7" w:rsidP="008822C7">
      <w:pPr>
        <w:jc w:val="both"/>
        <w:rPr>
          <w:rFonts w:ascii="Times New Roman" w:hAnsi="Times New Roman" w:cs="Times New Roman"/>
          <w:sz w:val="22"/>
          <w:szCs w:val="22"/>
        </w:rPr>
      </w:pPr>
      <w:r w:rsidRPr="00EB2DC8">
        <w:rPr>
          <w:rFonts w:ascii="Times New Roman" w:hAnsi="Times New Roman" w:cs="Times New Roman"/>
          <w:sz w:val="22"/>
          <w:szCs w:val="22"/>
        </w:rPr>
        <w:t xml:space="preserve">Yönetmelik, aracı hizmet sağlayıcının yalnızca bir teknik alt yapı sağlayıcı değil; dijital ticaretin hukuki çerçevesinde aktif bir aktör olarak tanımlanmasını sağlayan bir düzenlemedir. </w:t>
      </w:r>
      <w:proofErr w:type="spellStart"/>
      <w:r w:rsidRPr="00EB2DC8">
        <w:rPr>
          <w:rFonts w:ascii="Times New Roman" w:hAnsi="Times New Roman" w:cs="Times New Roman"/>
          <w:sz w:val="22"/>
          <w:szCs w:val="22"/>
        </w:rPr>
        <w:t>ETAHS’nin</w:t>
      </w:r>
      <w:proofErr w:type="spellEnd"/>
      <w:r w:rsidRPr="00EB2DC8">
        <w:rPr>
          <w:rFonts w:ascii="Times New Roman" w:hAnsi="Times New Roman" w:cs="Times New Roman"/>
          <w:sz w:val="22"/>
          <w:szCs w:val="22"/>
        </w:rPr>
        <w:t xml:space="preserve"> tanımı, yükümlülükleri, veri kullanımı sınırları ve denetim mekanizmaları netleştirilmiştir.</w:t>
      </w:r>
      <w:r w:rsidRPr="00EB2DC8">
        <w:rPr>
          <w:rFonts w:ascii="Times New Roman" w:hAnsi="Times New Roman" w:cs="Times New Roman"/>
          <w:sz w:val="22"/>
          <w:szCs w:val="22"/>
        </w:rPr>
        <w:br/>
        <w:t>Bu çerçevede, aracı hizmet sağlayıcılar için hukuki uyum artık bir tercih değil, zorunluluk haline gelmiştir. Platform yöneticileri ve hukuk danışmanları, aracılık sözleşmelerinden veri erişim süreçlerine, içerik kontrol mekanizmalarından ölçek bazlı denetim yükümlülüklerine kadar kapsamlı bir uyum haritası oluşturmalıdır. Aksi hâlde, idari yaptırımlar, tüketici şikâyetleri ve itibar kayıplarıyla karşılaşma riski yüksektir.</w:t>
      </w:r>
    </w:p>
    <w:p w14:paraId="1C9203AE" w14:textId="77777777" w:rsidR="008822C7" w:rsidRPr="00EB2DC8" w:rsidRDefault="008822C7" w:rsidP="008822C7">
      <w:pPr>
        <w:tabs>
          <w:tab w:val="num" w:pos="567"/>
        </w:tabs>
        <w:spacing w:after="0" w:line="276" w:lineRule="auto"/>
        <w:jc w:val="both"/>
        <w:rPr>
          <w:rFonts w:ascii="Times New Roman" w:hAnsi="Times New Roman" w:cs="Times New Roman"/>
          <w:b/>
          <w:bCs/>
          <w:sz w:val="22"/>
          <w:szCs w:val="22"/>
        </w:rPr>
      </w:pPr>
    </w:p>
    <w:p w14:paraId="26FF386E" w14:textId="4BE1D10F" w:rsidR="008822C7" w:rsidRPr="00EB2DC8" w:rsidRDefault="000D41D2" w:rsidP="002D3C5F">
      <w:pPr>
        <w:tabs>
          <w:tab w:val="num" w:pos="567"/>
        </w:tabs>
        <w:spacing w:after="0" w:line="276" w:lineRule="auto"/>
        <w:jc w:val="right"/>
        <w:rPr>
          <w:rFonts w:ascii="Times New Roman" w:hAnsi="Times New Roman" w:cs="Times New Roman"/>
          <w:b/>
          <w:bCs/>
          <w:sz w:val="22"/>
          <w:szCs w:val="22"/>
        </w:rPr>
      </w:pPr>
      <w:r w:rsidRPr="00EB2DC8">
        <w:rPr>
          <w:rFonts w:ascii="Times New Roman" w:hAnsi="Times New Roman" w:cs="Times New Roman"/>
          <w:b/>
          <w:bCs/>
          <w:sz w:val="22"/>
          <w:szCs w:val="22"/>
        </w:rPr>
        <w:t>3 ARALIK 2025</w:t>
      </w:r>
    </w:p>
    <w:p w14:paraId="69F12524" w14:textId="77777777" w:rsidR="001824D6" w:rsidRPr="00EB2DC8" w:rsidRDefault="001824D6" w:rsidP="001824D6">
      <w:pPr>
        <w:numPr>
          <w:ilvl w:val="0"/>
          <w:numId w:val="1"/>
        </w:numPr>
        <w:tabs>
          <w:tab w:val="clear" w:pos="720"/>
          <w:tab w:val="num" w:pos="567"/>
        </w:tabs>
        <w:spacing w:after="0" w:line="276" w:lineRule="auto"/>
        <w:ind w:left="0"/>
        <w:jc w:val="both"/>
        <w:rPr>
          <w:rFonts w:ascii="Times New Roman" w:hAnsi="Times New Roman" w:cs="Times New Roman"/>
          <w:b/>
          <w:bCs/>
          <w:sz w:val="22"/>
          <w:szCs w:val="22"/>
        </w:rPr>
      </w:pPr>
      <w:r w:rsidRPr="00EB2DC8">
        <w:rPr>
          <w:rFonts w:ascii="Times New Roman" w:hAnsi="Times New Roman" w:cs="Times New Roman"/>
          <w:b/>
          <w:bCs/>
          <w:sz w:val="22"/>
          <w:szCs w:val="22"/>
        </w:rPr>
        <w:t xml:space="preserve">TÜRKİYE’DE ÇAPRAZ PLATFORM E-TİCARET SATIŞLARI: MEVZUAT VE REKABET HUKUKU İNCELEMESİ </w:t>
      </w:r>
    </w:p>
    <w:p w14:paraId="14E34CDF" w14:textId="77777777" w:rsidR="008822C7" w:rsidRPr="00EB2DC8" w:rsidRDefault="008822C7" w:rsidP="008822C7">
      <w:pPr>
        <w:tabs>
          <w:tab w:val="num" w:pos="567"/>
        </w:tabs>
        <w:spacing w:after="0" w:line="276" w:lineRule="auto"/>
        <w:jc w:val="both"/>
        <w:rPr>
          <w:rFonts w:ascii="Times New Roman" w:hAnsi="Times New Roman" w:cs="Times New Roman"/>
          <w:b/>
          <w:bCs/>
          <w:sz w:val="22"/>
          <w:szCs w:val="22"/>
        </w:rPr>
      </w:pPr>
    </w:p>
    <w:p w14:paraId="4C479E21" w14:textId="4EFB404E" w:rsidR="000C0618" w:rsidRPr="00EB2DC8" w:rsidRDefault="000C0618" w:rsidP="000C0618">
      <w:pPr>
        <w:jc w:val="both"/>
        <w:rPr>
          <w:rFonts w:ascii="Times New Roman" w:hAnsi="Times New Roman" w:cs="Times New Roman"/>
          <w:sz w:val="22"/>
          <w:szCs w:val="22"/>
        </w:rPr>
      </w:pPr>
      <w:r w:rsidRPr="00EB2DC8">
        <w:rPr>
          <w:rFonts w:ascii="Times New Roman" w:hAnsi="Times New Roman" w:cs="Times New Roman"/>
          <w:sz w:val="22"/>
          <w:szCs w:val="22"/>
        </w:rPr>
        <w:t>Elektronik ticaret alanında satıcıların birden fazla platform üzerinden eş zamanlı satış yapması (“</w:t>
      </w:r>
      <w:r w:rsidRPr="00EB2DC8">
        <w:rPr>
          <w:rFonts w:ascii="Times New Roman" w:hAnsi="Times New Roman" w:cs="Times New Roman"/>
          <w:b/>
          <w:bCs/>
          <w:sz w:val="22"/>
          <w:szCs w:val="22"/>
        </w:rPr>
        <w:t>Çapraz Platform Satış</w:t>
      </w:r>
      <w:r w:rsidRPr="00EB2DC8">
        <w:rPr>
          <w:rFonts w:ascii="Times New Roman" w:hAnsi="Times New Roman" w:cs="Times New Roman"/>
          <w:sz w:val="22"/>
          <w:szCs w:val="22"/>
        </w:rPr>
        <w:t>”) giderek yaygınlaşmaktadır. Türkiye’de 6563 sayılı Elektronik Ticaretin Düzenlenmesi Hakkında Kanun</w:t>
      </w:r>
      <w:r w:rsidRPr="00EB2DC8">
        <w:rPr>
          <w:rFonts w:ascii="Times New Roman" w:hAnsi="Times New Roman" w:cs="Times New Roman"/>
          <w:b/>
          <w:bCs/>
          <w:sz w:val="22"/>
          <w:szCs w:val="22"/>
        </w:rPr>
        <w:t xml:space="preserve"> (“ETK”)</w:t>
      </w:r>
      <w:r w:rsidRPr="00EB2DC8">
        <w:rPr>
          <w:rFonts w:ascii="Times New Roman" w:hAnsi="Times New Roman" w:cs="Times New Roman"/>
          <w:sz w:val="22"/>
          <w:szCs w:val="22"/>
        </w:rPr>
        <w:t> ve bu Kanun’a dayanarak çıkarılan Elektronik Ticaret Aracı Hizmet Sağlayıcılar ve Elektronik Ticaret Hizmet Sağlayıcılar Hakkında Yönetmelik (“</w:t>
      </w:r>
      <w:r w:rsidRPr="00EB2DC8">
        <w:rPr>
          <w:rFonts w:ascii="Times New Roman" w:hAnsi="Times New Roman" w:cs="Times New Roman"/>
          <w:b/>
          <w:bCs/>
          <w:sz w:val="22"/>
          <w:szCs w:val="22"/>
        </w:rPr>
        <w:t>Yönetmelik</w:t>
      </w:r>
      <w:r w:rsidRPr="00EB2DC8">
        <w:rPr>
          <w:rFonts w:ascii="Times New Roman" w:hAnsi="Times New Roman" w:cs="Times New Roman"/>
          <w:sz w:val="22"/>
          <w:szCs w:val="22"/>
        </w:rPr>
        <w:t xml:space="preserve">”), e-ticaret </w:t>
      </w:r>
      <w:r w:rsidR="000D41D2" w:rsidRPr="00EB2DC8">
        <w:rPr>
          <w:rFonts w:ascii="Times New Roman" w:hAnsi="Times New Roman" w:cs="Times New Roman"/>
          <w:sz w:val="22"/>
          <w:szCs w:val="22"/>
        </w:rPr>
        <w:t>P</w:t>
      </w:r>
      <w:r w:rsidRPr="00EB2DC8">
        <w:rPr>
          <w:rFonts w:ascii="Times New Roman" w:hAnsi="Times New Roman" w:cs="Times New Roman"/>
          <w:sz w:val="22"/>
          <w:szCs w:val="22"/>
        </w:rPr>
        <w:t>azar yerleri ile satıcılar (hizmet sağlayıcılar) arasındaki ilişkileri ayrıntılı şekilde düzenlemektedir. 2022 yılında 7416 sayılı Kanun’la yapılan değişiklikler, e-ticarette haksız ticari uygulamaları önlemeyi, tekelleşmenin önüne geçerek pazara yeni aktörlerin girişini kolaylaştırmayı ve piyasada dengeli bir rekabet ortamı yaratmayı hedeflemiştir. Bu kapsamda, elektronik ticaret aracı hizmet sağlayıcı (“</w:t>
      </w:r>
      <w:r w:rsidRPr="00EB2DC8">
        <w:rPr>
          <w:rFonts w:ascii="Times New Roman" w:hAnsi="Times New Roman" w:cs="Times New Roman"/>
          <w:b/>
          <w:bCs/>
          <w:sz w:val="22"/>
          <w:szCs w:val="22"/>
        </w:rPr>
        <w:t>ETAHS</w:t>
      </w:r>
      <w:r w:rsidRPr="00EB2DC8">
        <w:rPr>
          <w:rFonts w:ascii="Times New Roman" w:hAnsi="Times New Roman" w:cs="Times New Roman"/>
          <w:sz w:val="22"/>
          <w:szCs w:val="22"/>
        </w:rPr>
        <w:t>”) kavramı ile elektronik ticaret hizmet sağlayıcı (“</w:t>
      </w:r>
      <w:r w:rsidRPr="00EB2DC8">
        <w:rPr>
          <w:rFonts w:ascii="Times New Roman" w:hAnsi="Times New Roman" w:cs="Times New Roman"/>
          <w:b/>
          <w:bCs/>
          <w:sz w:val="22"/>
          <w:szCs w:val="22"/>
        </w:rPr>
        <w:t>ETHS”</w:t>
      </w:r>
      <w:r w:rsidRPr="00EB2DC8">
        <w:rPr>
          <w:rFonts w:ascii="Times New Roman" w:hAnsi="Times New Roman" w:cs="Times New Roman"/>
          <w:sz w:val="22"/>
          <w:szCs w:val="22"/>
        </w:rPr>
        <w:t xml:space="preserve">) kavramları tanımlanmış; ETAHS, bir e-ticaret </w:t>
      </w:r>
      <w:r w:rsidR="000D41D2" w:rsidRPr="00EB2DC8">
        <w:rPr>
          <w:rFonts w:ascii="Times New Roman" w:hAnsi="Times New Roman" w:cs="Times New Roman"/>
          <w:sz w:val="22"/>
          <w:szCs w:val="22"/>
        </w:rPr>
        <w:t>P</w:t>
      </w:r>
      <w:r w:rsidRPr="00EB2DC8">
        <w:rPr>
          <w:rFonts w:ascii="Times New Roman" w:hAnsi="Times New Roman" w:cs="Times New Roman"/>
          <w:sz w:val="22"/>
          <w:szCs w:val="22"/>
        </w:rPr>
        <w:t xml:space="preserve">azar yerini işleten ve başkalarına ait mal/hizmet satışına aracılık eden platformu ifade ederken, ETHS kendi mal veya hizmetlerini satan (pazaryerinde mağaza açan ya da kendi sitesi üzerinden satış yapan) satıcıyı ifade etmektedir. Aşağıda, çapraz platform satış serbestisi, </w:t>
      </w:r>
      <w:proofErr w:type="spellStart"/>
      <w:r w:rsidRPr="00EB2DC8">
        <w:rPr>
          <w:rFonts w:ascii="Times New Roman" w:hAnsi="Times New Roman" w:cs="Times New Roman"/>
          <w:sz w:val="22"/>
          <w:szCs w:val="22"/>
        </w:rPr>
        <w:t>ETAHS’lerin</w:t>
      </w:r>
      <w:proofErr w:type="spellEnd"/>
      <w:r w:rsidRPr="00EB2DC8">
        <w:rPr>
          <w:rFonts w:ascii="Times New Roman" w:hAnsi="Times New Roman" w:cs="Times New Roman"/>
          <w:sz w:val="22"/>
          <w:szCs w:val="22"/>
        </w:rPr>
        <w:t xml:space="preserve"> sözleşmeler yoluyla getirdiği kısıtlamaların hukuki geçerliliği, platformlar arası veri ve içerik paylaşımı yükümlülükleri ile rekabet hukuku ve eşitlik ilkesi boyutları ele alınmaktadır.</w:t>
      </w:r>
    </w:p>
    <w:p w14:paraId="728A2DDA" w14:textId="77777777" w:rsidR="000C0618" w:rsidRPr="00EB2DC8" w:rsidRDefault="000C0618" w:rsidP="000C0618">
      <w:pPr>
        <w:jc w:val="both"/>
        <w:rPr>
          <w:rFonts w:ascii="Times New Roman" w:hAnsi="Times New Roman" w:cs="Times New Roman"/>
          <w:b/>
          <w:bCs/>
          <w:sz w:val="22"/>
          <w:szCs w:val="22"/>
        </w:rPr>
      </w:pPr>
      <w:r w:rsidRPr="00EB2DC8">
        <w:rPr>
          <w:rFonts w:ascii="Times New Roman" w:hAnsi="Times New Roman" w:cs="Times New Roman"/>
          <w:b/>
          <w:bCs/>
          <w:sz w:val="22"/>
          <w:szCs w:val="22"/>
        </w:rPr>
        <w:t>Satıcıların Çapraz Platformda Satış Hakkı ve Sözleşmesel Kısıtlamalar</w:t>
      </w:r>
    </w:p>
    <w:p w14:paraId="3A0E0A8B" w14:textId="77777777" w:rsidR="000C0618" w:rsidRPr="00EB2DC8" w:rsidRDefault="000C0618" w:rsidP="000C0618">
      <w:pPr>
        <w:jc w:val="both"/>
        <w:rPr>
          <w:rFonts w:ascii="Times New Roman" w:hAnsi="Times New Roman" w:cs="Times New Roman"/>
          <w:sz w:val="22"/>
          <w:szCs w:val="22"/>
        </w:rPr>
      </w:pPr>
      <w:r w:rsidRPr="00EB2DC8">
        <w:rPr>
          <w:rFonts w:ascii="Times New Roman" w:hAnsi="Times New Roman" w:cs="Times New Roman"/>
          <w:sz w:val="22"/>
          <w:szCs w:val="22"/>
        </w:rPr>
        <w:t>Mevzuatta, bir </w:t>
      </w:r>
      <w:proofErr w:type="spellStart"/>
      <w:r w:rsidRPr="00EB2DC8">
        <w:rPr>
          <w:rFonts w:ascii="Times New Roman" w:hAnsi="Times New Roman" w:cs="Times New Roman"/>
          <w:sz w:val="22"/>
          <w:szCs w:val="22"/>
        </w:rPr>
        <w:t>ETHS’nin</w:t>
      </w:r>
      <w:proofErr w:type="spellEnd"/>
      <w:r w:rsidRPr="00EB2DC8">
        <w:rPr>
          <w:rFonts w:ascii="Times New Roman" w:hAnsi="Times New Roman" w:cs="Times New Roman"/>
          <w:sz w:val="22"/>
          <w:szCs w:val="22"/>
        </w:rPr>
        <w:t xml:space="preserve"> yani satıcının birden fazla e-ticaret platformunda aynı anda faaliyet</w:t>
      </w:r>
      <w:r w:rsidRPr="00EB2DC8">
        <w:rPr>
          <w:rFonts w:ascii="Times New Roman" w:hAnsi="Times New Roman" w:cs="Times New Roman"/>
          <w:b/>
          <w:bCs/>
          <w:sz w:val="22"/>
          <w:szCs w:val="22"/>
        </w:rPr>
        <w:t xml:space="preserve"> </w:t>
      </w:r>
      <w:r w:rsidRPr="00EB2DC8">
        <w:rPr>
          <w:rFonts w:ascii="Times New Roman" w:hAnsi="Times New Roman" w:cs="Times New Roman"/>
          <w:sz w:val="22"/>
          <w:szCs w:val="22"/>
        </w:rPr>
        <w:t xml:space="preserve">göstermesini engelleyen herhangi bir genel yasak bulunmamaktadır. Aksine, 2022 değişiklikleri sonrasında getirilen kurallar büyük platformların satıcıları tek bir kanal ile sınırlamasını yasaklamıştır. </w:t>
      </w:r>
      <w:r w:rsidRPr="00EB2DC8">
        <w:rPr>
          <w:rFonts w:ascii="Times New Roman" w:hAnsi="Times New Roman" w:cs="Times New Roman"/>
          <w:sz w:val="22"/>
          <w:szCs w:val="22"/>
        </w:rPr>
        <w:lastRenderedPageBreak/>
        <w:t xml:space="preserve">Özellikle net işlem hacmi 30 milyar TL üzerinde olan büyük </w:t>
      </w:r>
      <w:proofErr w:type="spellStart"/>
      <w:r w:rsidRPr="00EB2DC8">
        <w:rPr>
          <w:rFonts w:ascii="Times New Roman" w:hAnsi="Times New Roman" w:cs="Times New Roman"/>
          <w:sz w:val="22"/>
          <w:szCs w:val="22"/>
        </w:rPr>
        <w:t>ETAHS’ler</w:t>
      </w:r>
      <w:proofErr w:type="spellEnd"/>
      <w:r w:rsidRPr="00EB2DC8">
        <w:rPr>
          <w:rFonts w:ascii="Times New Roman" w:hAnsi="Times New Roman" w:cs="Times New Roman"/>
          <w:sz w:val="22"/>
          <w:szCs w:val="22"/>
        </w:rPr>
        <w:t>, bir satıcının farklı kanallarda (başka pazaryeri veya kendi web sitesi gibi) aynı ya da farklı fiyatlarla mal veya hizmet sunmasını veya bu kanallarda reklam yapmasını kısıtlayamaz. Bu tür büyük platformlar, satıcıları belirli bir kişiye veya platforma mal/hizmet temin etmeye zorlama yoluna da gidemeyeceği gibi, böyle kısıtlamalara imkân veren herhangi bir hükme aracılık sözleşmelerinde yer veremez. Dolayısıyla, özellikle büyük ölçekli pazaryerleri açısından satıcının çapraz platformda satış yapma özgürlüğü mevzuatla güvence altına alınmıştır.</w:t>
      </w:r>
    </w:p>
    <w:p w14:paraId="47B74432" w14:textId="77777777" w:rsidR="000C0618" w:rsidRPr="00EB2DC8" w:rsidRDefault="000C0618" w:rsidP="000C0618">
      <w:pPr>
        <w:jc w:val="both"/>
        <w:rPr>
          <w:rFonts w:ascii="Times New Roman" w:hAnsi="Times New Roman" w:cs="Times New Roman"/>
          <w:sz w:val="22"/>
          <w:szCs w:val="22"/>
        </w:rPr>
      </w:pPr>
      <w:r w:rsidRPr="00EB2DC8">
        <w:rPr>
          <w:rFonts w:ascii="Times New Roman" w:hAnsi="Times New Roman" w:cs="Times New Roman"/>
          <w:sz w:val="22"/>
          <w:szCs w:val="22"/>
        </w:rPr>
        <w:t xml:space="preserve">Daha küçük ölçekteki </w:t>
      </w:r>
      <w:proofErr w:type="spellStart"/>
      <w:r w:rsidRPr="00EB2DC8">
        <w:rPr>
          <w:rFonts w:ascii="Times New Roman" w:hAnsi="Times New Roman" w:cs="Times New Roman"/>
          <w:sz w:val="22"/>
          <w:szCs w:val="22"/>
        </w:rPr>
        <w:t>ETAHS’ler</w:t>
      </w:r>
      <w:proofErr w:type="spellEnd"/>
      <w:r w:rsidRPr="00EB2DC8">
        <w:rPr>
          <w:rFonts w:ascii="Times New Roman" w:hAnsi="Times New Roman" w:cs="Times New Roman"/>
          <w:sz w:val="22"/>
          <w:szCs w:val="22"/>
        </w:rPr>
        <w:t xml:space="preserve"> bakımından kanun bu yönde açık bir yasak getirmemekle birlikte, satıcıların kendi ticari tercihleri doğrultusunda birden fazla platformda satış yapma hakkı genel hukuk ilkeleri gereği korunmaktadır. Türk Borçlar Kanunu’nun sözleşme serbestisi ilkesi, tarafların rekabet etmeme veya münhasırlık gibi anlaşmalar yapmasına teorik olarak izin verebilir. Ne var ki bir pazaryeri platformunun satıcıya “yalnızca kendi platformumda satış yap” şeklinde bir yükümlülük dayatması, satıcıyı ciddi ölçüde kısıtlayacağından, dürüstlük kuralı ve hakkaniyet açısından tartışmalı olacaktır. Özellikle platformun piyasadaki güçlü konumu varsa, böyle bir münhasırlık şartı haksız ticari uygulama veya rekabeti kısıtlayıcı bir koşul sayılabilir. Nitekim 2022 yılında yapılan Kanun değişikliği ile “e-ticarette haksız ticari uygulamalar” kavramı tanımlanmış ve </w:t>
      </w:r>
      <w:proofErr w:type="spellStart"/>
      <w:r w:rsidRPr="00EB2DC8">
        <w:rPr>
          <w:rFonts w:ascii="Times New Roman" w:hAnsi="Times New Roman" w:cs="Times New Roman"/>
          <w:sz w:val="22"/>
          <w:szCs w:val="22"/>
        </w:rPr>
        <w:t>ETAHS’nin</w:t>
      </w:r>
      <w:proofErr w:type="spellEnd"/>
      <w:r w:rsidRPr="00EB2DC8">
        <w:rPr>
          <w:rFonts w:ascii="Times New Roman" w:hAnsi="Times New Roman" w:cs="Times New Roman"/>
          <w:sz w:val="22"/>
          <w:szCs w:val="22"/>
        </w:rPr>
        <w:t> satıcının ticari faaliyetini önemli ölçüde bozan veya onu normal şartlarda kabul etmeyeceği bir ilişkiye zorlayan uygulamaları yasaklanmıştır</w:t>
      </w:r>
      <w:hyperlink r:id="rId6" w:anchor=":~:text=E,uygulamalar%C4%B1n%C4%B1n%20haks%C4%B1z%20oldu%C4%9Fu%20kabul%20edilecektir" w:tgtFrame="_blank" w:history="1"/>
      <w:r w:rsidRPr="00EB2DC8">
        <w:rPr>
          <w:rFonts w:ascii="Times New Roman" w:hAnsi="Times New Roman" w:cs="Times New Roman"/>
          <w:sz w:val="22"/>
          <w:szCs w:val="22"/>
        </w:rPr>
        <w:t>. Satıcıyı tek platforma mahkûm etmek, onu alternatif kanallardan mahrum bırakarak makul karar özgürlüğünü azaltan bir uygulama sayılacağından, bu kapsamda değerlendirilebilir. Sonuç olarak, satıcının çapraz platformda satış yapma hakkı kural olarak sınırlandırılamaz; özellikle büyük pazaryerleri bakımından böyle bir kısıtlama kanunen geçersiz ve yaptırıma tabidir. Küçük platformların getirdiği sınırlamalar da somut olayın koşullarına göre genel hukuk ve rekabet kuralları çerçevesinde hukuken tartışmalı olabilecektir.</w:t>
      </w:r>
    </w:p>
    <w:p w14:paraId="5CC019DD" w14:textId="77777777" w:rsidR="000C0618" w:rsidRPr="00EB2DC8" w:rsidRDefault="000C0618" w:rsidP="000C0618">
      <w:pPr>
        <w:pStyle w:val="ListeParagraf"/>
        <w:numPr>
          <w:ilvl w:val="0"/>
          <w:numId w:val="19"/>
        </w:numPr>
        <w:jc w:val="both"/>
        <w:rPr>
          <w:rFonts w:ascii="Times New Roman" w:hAnsi="Times New Roman" w:cs="Times New Roman"/>
          <w:b/>
          <w:bCs/>
          <w:sz w:val="22"/>
          <w:szCs w:val="22"/>
        </w:rPr>
      </w:pPr>
      <w:r w:rsidRPr="00EB2DC8">
        <w:rPr>
          <w:rFonts w:ascii="Times New Roman" w:hAnsi="Times New Roman" w:cs="Times New Roman"/>
          <w:b/>
          <w:bCs/>
          <w:sz w:val="22"/>
          <w:szCs w:val="22"/>
        </w:rPr>
        <w:t>Platformlar Arası Veri Paylaşımı ve İçerik Eşzamanlılığı</w:t>
      </w:r>
    </w:p>
    <w:p w14:paraId="50AD1C1C" w14:textId="77777777" w:rsidR="000C0618" w:rsidRPr="00EB2DC8" w:rsidRDefault="000C0618" w:rsidP="000C0618">
      <w:pPr>
        <w:jc w:val="both"/>
        <w:rPr>
          <w:rFonts w:ascii="Times New Roman" w:hAnsi="Times New Roman" w:cs="Times New Roman"/>
          <w:sz w:val="22"/>
          <w:szCs w:val="22"/>
        </w:rPr>
      </w:pPr>
      <w:r w:rsidRPr="00EB2DC8">
        <w:rPr>
          <w:rFonts w:ascii="Times New Roman" w:hAnsi="Times New Roman" w:cs="Times New Roman"/>
          <w:sz w:val="22"/>
          <w:szCs w:val="22"/>
        </w:rPr>
        <w:t xml:space="preserve">Çapraz platform satışlarda veri paylaşımı ve içerik eş zamanlılığı önemli bir yer tutar. Yeni Yönetmelik, büyük ölçekli pazaryerlerine satıcıların verilerine erişim konusunda şeffaflık ve paylaşım yükümlülükleri getirmiştir. Net işlem hacmi 10 milyar TL’yi aşan </w:t>
      </w:r>
      <w:proofErr w:type="spellStart"/>
      <w:r w:rsidRPr="00EB2DC8">
        <w:rPr>
          <w:rFonts w:ascii="Times New Roman" w:hAnsi="Times New Roman" w:cs="Times New Roman"/>
          <w:sz w:val="22"/>
          <w:szCs w:val="22"/>
        </w:rPr>
        <w:t>ETAHS’ler</w:t>
      </w:r>
      <w:proofErr w:type="spellEnd"/>
      <w:r w:rsidRPr="00EB2DC8">
        <w:rPr>
          <w:rFonts w:ascii="Times New Roman" w:hAnsi="Times New Roman" w:cs="Times New Roman"/>
          <w:sz w:val="22"/>
          <w:szCs w:val="22"/>
        </w:rPr>
        <w:t xml:space="preserve">, satıcılardan (ETHS) ve alıcılardan elde ettiği verileri yalnızca aracılık hizmetlerinin sunulması amacıyla kullanmak zorundadır; bu verileri kendi işlettiği pazaryerlerinde veya başka elektronik ticaret ortamlarında satıcılarla rekabet ederken kullanması yasaktır. Bu düzenleme, bir platformun edindiği müşteri ve satış verilerini, satıcıya karşı avantaj elde etmek (örneğin kendi ürünlerini ön plana çıkarmak) amacıyla kullanmasını engelleyerek veri temelli haksız rekabeti önlemeyi hedefler. Ayrıca aynı kapsamda, büyük </w:t>
      </w:r>
      <w:proofErr w:type="spellStart"/>
      <w:r w:rsidRPr="00EB2DC8">
        <w:rPr>
          <w:rFonts w:ascii="Times New Roman" w:hAnsi="Times New Roman" w:cs="Times New Roman"/>
          <w:sz w:val="22"/>
          <w:szCs w:val="22"/>
        </w:rPr>
        <w:t>ETAHS’ler</w:t>
      </w:r>
      <w:proofErr w:type="spellEnd"/>
      <w:r w:rsidRPr="00EB2DC8">
        <w:rPr>
          <w:rFonts w:ascii="Times New Roman" w:hAnsi="Times New Roman" w:cs="Times New Roman"/>
          <w:sz w:val="22"/>
          <w:szCs w:val="22"/>
        </w:rPr>
        <w:t> satıcının satış verilerinin ücretsiz olarak satıcıya iletilmesine ve satıcının bu ham veriler ile işlenmiş verilere ücretsiz ve etkin şekilde erişimine imkân sağlamakla yükümlüdür. Bu sayede satıcılar, kendi satış performanslarına ve müşteri davranışlarına ilişkin verilere kolayca ulaşarak bunları farklı platformlarda da kullanabilecek, veri taşınabilirliği mümkün olacaktır.</w:t>
      </w:r>
    </w:p>
    <w:p w14:paraId="1C1C3C6F" w14:textId="77777777" w:rsidR="000C0618" w:rsidRPr="00EB2DC8" w:rsidRDefault="000C0618" w:rsidP="000C0618">
      <w:pPr>
        <w:jc w:val="both"/>
        <w:rPr>
          <w:rFonts w:ascii="Times New Roman" w:hAnsi="Times New Roman" w:cs="Times New Roman"/>
          <w:sz w:val="22"/>
          <w:szCs w:val="22"/>
        </w:rPr>
      </w:pPr>
      <w:r w:rsidRPr="00EB2DC8">
        <w:rPr>
          <w:rFonts w:ascii="Times New Roman" w:hAnsi="Times New Roman" w:cs="Times New Roman"/>
          <w:b/>
          <w:bCs/>
          <w:sz w:val="22"/>
          <w:szCs w:val="22"/>
          <w:u w:val="single"/>
        </w:rPr>
        <w:t>İçerik eş zamanlılığı</w:t>
      </w:r>
      <w:r w:rsidRPr="00EB2DC8">
        <w:rPr>
          <w:rFonts w:ascii="Times New Roman" w:hAnsi="Times New Roman" w:cs="Times New Roman"/>
          <w:sz w:val="22"/>
          <w:szCs w:val="22"/>
        </w:rPr>
        <w:t xml:space="preserve"> konusunda da mevzuat satıcılara kolaylık sağlamaktadır. Yönetmelik uyarınca, büyük ve orta ölçekli pazaryerleri satıcının ürün içeriklerini ve verilerini paylaşmakla yükümlüdür. </w:t>
      </w:r>
      <w:proofErr w:type="spellStart"/>
      <w:r w:rsidRPr="00EB2DC8">
        <w:rPr>
          <w:rFonts w:ascii="Times New Roman" w:hAnsi="Times New Roman" w:cs="Times New Roman"/>
          <w:sz w:val="22"/>
          <w:szCs w:val="22"/>
        </w:rPr>
        <w:t>ETAHS’nin</w:t>
      </w:r>
      <w:proofErr w:type="spellEnd"/>
      <w:r w:rsidRPr="00EB2DC8">
        <w:rPr>
          <w:rFonts w:ascii="Times New Roman" w:hAnsi="Times New Roman" w:cs="Times New Roman"/>
          <w:sz w:val="22"/>
          <w:szCs w:val="22"/>
        </w:rPr>
        <w:t xml:space="preserve">, satıcının satışa sunduğu ürünlere ilişkin satış ve iade adetlerini, ürün özelliklerini, açıklamalarını, görsellerini; ürünlere dair soru-cevapları ve değerlendirme (yorum) verilerini satıcıyla paylaşması gerekmektedir. Hatta satıcı, bu verileri farklı platformlarda kendi mağazasını yönetmek için kullanabilir. Yönetmelik açıkça, söz konusu verilerin ilk oluşturuldukları pazaryerinin unvan veya markasını belirtmek suretiyle diğer ortamlarda yayımlanabileceğini hükme bağlamıştır. Bu, satıcının bir platformdaki ürün açıklaması, fotoğraf, kullanıcı yorumları gibi içerikleri başka bir platformda da eş zamanlı olarak kullanabilmesine olanak tanır. Örneğin bir ürüne ait müşteri değerlendirmesi ilk olarak </w:t>
      </w:r>
      <w:r w:rsidRPr="00EB2DC8">
        <w:rPr>
          <w:rFonts w:ascii="Times New Roman" w:hAnsi="Times New Roman" w:cs="Times New Roman"/>
          <w:sz w:val="22"/>
          <w:szCs w:val="22"/>
        </w:rPr>
        <w:lastRenderedPageBreak/>
        <w:t>Platform A’da oluşmuşsa, satıcı bu değerlendirmeyi Platform B’de listelerken kaynak platformun adını belirterek gösterebilecektir. Böylece çapraz platform satış yapan bir satıcı, her platformda tutarlı ve güncel içerik sunabilir. Bunun yanı sıra, paylaşılan veriler kapsamında satıcının talebi halinde veri taşıma (</w:t>
      </w:r>
      <w:proofErr w:type="spellStart"/>
      <w:r w:rsidRPr="00EB2DC8">
        <w:rPr>
          <w:rFonts w:ascii="Times New Roman" w:hAnsi="Times New Roman" w:cs="Times New Roman"/>
          <w:sz w:val="22"/>
          <w:szCs w:val="22"/>
        </w:rPr>
        <w:t>portability</w:t>
      </w:r>
      <w:proofErr w:type="spellEnd"/>
      <w:r w:rsidRPr="00EB2DC8">
        <w:rPr>
          <w:rFonts w:ascii="Times New Roman" w:hAnsi="Times New Roman" w:cs="Times New Roman"/>
          <w:sz w:val="22"/>
          <w:szCs w:val="22"/>
        </w:rPr>
        <w:t xml:space="preserve">) taleplerinin de ETAHS tarafından 15 gün içinde yerine getirilmesi zorunluluğu getirilmiştir. </w:t>
      </w:r>
    </w:p>
    <w:p w14:paraId="02473523" w14:textId="77777777" w:rsidR="000C0618" w:rsidRPr="00EB2DC8" w:rsidRDefault="000C0618" w:rsidP="000C0618">
      <w:pPr>
        <w:jc w:val="both"/>
        <w:rPr>
          <w:rFonts w:ascii="Times New Roman" w:hAnsi="Times New Roman" w:cs="Times New Roman"/>
          <w:sz w:val="22"/>
          <w:szCs w:val="22"/>
        </w:rPr>
      </w:pPr>
      <w:r w:rsidRPr="00EB2DC8">
        <w:rPr>
          <w:rFonts w:ascii="Times New Roman" w:hAnsi="Times New Roman" w:cs="Times New Roman"/>
          <w:b/>
          <w:bCs/>
          <w:sz w:val="22"/>
          <w:szCs w:val="22"/>
          <w:u w:val="single"/>
        </w:rPr>
        <w:t>Fiyat uyumu (paritesi)</w:t>
      </w:r>
      <w:r w:rsidRPr="00EB2DC8">
        <w:rPr>
          <w:rFonts w:ascii="Times New Roman" w:hAnsi="Times New Roman" w:cs="Times New Roman"/>
          <w:sz w:val="22"/>
          <w:szCs w:val="22"/>
        </w:rPr>
        <w:t xml:space="preserve"> meselesi de çapraz platform satışlarda öne çıkmaktadır. Bazı platformlar geçmişte satıcılardan, kendi platformlarındaki fiyatların diğer kanallardan daha yüksek olmamasını (ya da daha düşük olmamasını) şart koşan fiyat paritesi hükümleri talep edebilmekteydi.  Kanun değişikliği sonrasında, büyük platformların böyle koşullar dayatması açıkça yasaklanmıştır. Net işlem hacmi 30 milyarın üzerinde olan </w:t>
      </w:r>
      <w:proofErr w:type="spellStart"/>
      <w:r w:rsidRPr="00EB2DC8">
        <w:rPr>
          <w:rFonts w:ascii="Times New Roman" w:hAnsi="Times New Roman" w:cs="Times New Roman"/>
          <w:sz w:val="22"/>
          <w:szCs w:val="22"/>
        </w:rPr>
        <w:t>ETAHS’ler</w:t>
      </w:r>
      <w:proofErr w:type="spellEnd"/>
      <w:r w:rsidRPr="00EB2DC8">
        <w:rPr>
          <w:rFonts w:ascii="Times New Roman" w:hAnsi="Times New Roman" w:cs="Times New Roman"/>
          <w:sz w:val="22"/>
          <w:szCs w:val="22"/>
        </w:rPr>
        <w:t>, satıcının farklı kanallarda aynı veya farklı fiyatla satış yapmasını engelleyemeyeceği gibi, bu yönde bir sözleşme şartı da koyamaz. Satıcı, malını kendi web sitesinde daha düşük bir fiyata veya başka bir pazaryerinde indirimli olarak satmak isterse, büyük platform bunun önüne geçecek herhangi bir yaptırım uygulayamaz. Dolayısıyla hukuken, platformlar arasında fiyat uyumunu sağlama veya satıcıyı tek bir fiyat politikası izlemeye zorlama yönünde bir yükümlülük bulunmamaktadır. Aksine, böylesi MFN (en çok kayrılan müşteri) veya fiyat paritesi şartları büyük platformlar için hukuka aykırı addedilmiştir. Satıcılar farklı platformlardaki komisyon oranları, maliyet yapıları ve rekabet stratejilerine göre serbestçe fiyat belirleyebilir.</w:t>
      </w:r>
    </w:p>
    <w:p w14:paraId="00CE25C8" w14:textId="77777777" w:rsidR="000C0618" w:rsidRPr="00EB2DC8" w:rsidRDefault="000C0618" w:rsidP="000C0618">
      <w:pPr>
        <w:pStyle w:val="ListeParagraf"/>
        <w:numPr>
          <w:ilvl w:val="0"/>
          <w:numId w:val="19"/>
        </w:numPr>
        <w:jc w:val="both"/>
        <w:rPr>
          <w:rFonts w:ascii="Times New Roman" w:hAnsi="Times New Roman" w:cs="Times New Roman"/>
          <w:b/>
          <w:bCs/>
          <w:sz w:val="22"/>
          <w:szCs w:val="22"/>
        </w:rPr>
      </w:pPr>
      <w:r w:rsidRPr="00EB2DC8">
        <w:rPr>
          <w:rFonts w:ascii="Times New Roman" w:hAnsi="Times New Roman" w:cs="Times New Roman"/>
          <w:b/>
          <w:bCs/>
          <w:sz w:val="22"/>
          <w:szCs w:val="22"/>
        </w:rPr>
        <w:t>Rekabet Hukuku ve Eşitlik İlkesi Açısından Değerlendirme</w:t>
      </w:r>
    </w:p>
    <w:p w14:paraId="7F8C279F" w14:textId="5988EBD0" w:rsidR="000C0618" w:rsidRPr="00EB2DC8" w:rsidRDefault="000C0618" w:rsidP="000C0618">
      <w:pPr>
        <w:jc w:val="both"/>
        <w:rPr>
          <w:rFonts w:ascii="Times New Roman" w:hAnsi="Times New Roman" w:cs="Times New Roman"/>
          <w:sz w:val="22"/>
          <w:szCs w:val="22"/>
        </w:rPr>
      </w:pPr>
      <w:r w:rsidRPr="00EB2DC8">
        <w:rPr>
          <w:rFonts w:ascii="Times New Roman" w:hAnsi="Times New Roman" w:cs="Times New Roman"/>
          <w:sz w:val="22"/>
          <w:szCs w:val="22"/>
        </w:rPr>
        <w:t>Çapraz platform satışların sınırlandırılması meselesi, Rekabet Hukuku bakımından da kritik öneme sahiptir. 4054 sayılı Rekabetin Korunması Hakkında Kanun’un (“</w:t>
      </w:r>
      <w:r w:rsidRPr="00EB2DC8">
        <w:rPr>
          <w:rFonts w:ascii="Times New Roman" w:hAnsi="Times New Roman" w:cs="Times New Roman"/>
          <w:b/>
          <w:bCs/>
          <w:sz w:val="22"/>
          <w:szCs w:val="22"/>
        </w:rPr>
        <w:t>Rekabet Kanunu</w:t>
      </w:r>
      <w:r w:rsidRPr="00EB2DC8">
        <w:rPr>
          <w:rFonts w:ascii="Times New Roman" w:hAnsi="Times New Roman" w:cs="Times New Roman"/>
          <w:sz w:val="22"/>
          <w:szCs w:val="22"/>
        </w:rPr>
        <w:t xml:space="preserve">”) 4. </w:t>
      </w:r>
      <w:r w:rsidR="000D41D2" w:rsidRPr="00EB2DC8">
        <w:rPr>
          <w:rFonts w:ascii="Times New Roman" w:hAnsi="Times New Roman" w:cs="Times New Roman"/>
          <w:sz w:val="22"/>
          <w:szCs w:val="22"/>
        </w:rPr>
        <w:t>M</w:t>
      </w:r>
      <w:r w:rsidRPr="00EB2DC8">
        <w:rPr>
          <w:rFonts w:ascii="Times New Roman" w:hAnsi="Times New Roman" w:cs="Times New Roman"/>
          <w:sz w:val="22"/>
          <w:szCs w:val="22"/>
        </w:rPr>
        <w:t xml:space="preserve">addesi, </w:t>
      </w:r>
      <w:r w:rsidRPr="00EB2DC8">
        <w:rPr>
          <w:rFonts w:ascii="Times New Roman" w:hAnsi="Times New Roman" w:cs="Times New Roman"/>
          <w:b/>
          <w:bCs/>
          <w:sz w:val="22"/>
          <w:szCs w:val="22"/>
          <w:u w:val="single"/>
        </w:rPr>
        <w:t>rekabeti</w:t>
      </w:r>
      <w:r w:rsidRPr="00EB2DC8">
        <w:rPr>
          <w:rFonts w:ascii="Times New Roman" w:hAnsi="Times New Roman" w:cs="Times New Roman"/>
          <w:sz w:val="22"/>
          <w:szCs w:val="22"/>
          <w:u w:val="single"/>
        </w:rPr>
        <w:t xml:space="preserve"> </w:t>
      </w:r>
      <w:r w:rsidRPr="00EB2DC8">
        <w:rPr>
          <w:rFonts w:ascii="Times New Roman" w:hAnsi="Times New Roman" w:cs="Times New Roman"/>
          <w:b/>
          <w:bCs/>
          <w:sz w:val="22"/>
          <w:szCs w:val="22"/>
          <w:u w:val="single"/>
        </w:rPr>
        <w:t>kısıtlama amacını veya etkisini taşıyan anlaşmaları yasaklamaktadır.</w:t>
      </w:r>
      <w:r w:rsidRPr="00EB2DC8">
        <w:rPr>
          <w:rFonts w:ascii="Times New Roman" w:hAnsi="Times New Roman" w:cs="Times New Roman"/>
          <w:sz w:val="22"/>
          <w:szCs w:val="22"/>
        </w:rPr>
        <w:t xml:space="preserve"> </w:t>
      </w:r>
      <w:r w:rsidRPr="00EB2DC8">
        <w:rPr>
          <w:rFonts w:ascii="Times New Roman" w:hAnsi="Times New Roman" w:cs="Times New Roman"/>
          <w:b/>
          <w:bCs/>
          <w:sz w:val="22"/>
          <w:szCs w:val="22"/>
          <w:u w:val="single"/>
        </w:rPr>
        <w:t xml:space="preserve">Bir </w:t>
      </w:r>
      <w:proofErr w:type="spellStart"/>
      <w:r w:rsidRPr="00EB2DC8">
        <w:rPr>
          <w:rFonts w:ascii="Times New Roman" w:hAnsi="Times New Roman" w:cs="Times New Roman"/>
          <w:b/>
          <w:bCs/>
          <w:sz w:val="22"/>
          <w:szCs w:val="22"/>
          <w:u w:val="single"/>
        </w:rPr>
        <w:t>ETAHS’nin</w:t>
      </w:r>
      <w:proofErr w:type="spellEnd"/>
      <w:r w:rsidRPr="00EB2DC8">
        <w:rPr>
          <w:rFonts w:ascii="Times New Roman" w:hAnsi="Times New Roman" w:cs="Times New Roman"/>
          <w:b/>
          <w:bCs/>
          <w:sz w:val="22"/>
          <w:szCs w:val="22"/>
          <w:u w:val="single"/>
        </w:rPr>
        <w:t xml:space="preserve"> satıcılarla yaptığı sözleşmeye çapraz platform satış yasağı veya fiyat paritesi koşulu eklemesi, eğer piyasa etkisi anlamlı ise rekabeti sınırlayıcı dikey bir düzenleme olarak değerlendirilebilir.</w:t>
      </w:r>
      <w:r w:rsidRPr="00EB2DC8">
        <w:rPr>
          <w:rFonts w:ascii="Times New Roman" w:hAnsi="Times New Roman" w:cs="Times New Roman"/>
          <w:sz w:val="22"/>
          <w:szCs w:val="22"/>
        </w:rPr>
        <w:t xml:space="preserve"> Özellikle büyük pazaryerlerinin satıcıları kendine bağlayarak rakip platformlara çıkışlarını engellemesi, pazarlar arası rekabeti zayıflatır ve yeni girişimcilerin pazara girmesini zorlaştırır. Nitekim 2022 değişikliklerinin gerekçesinde de bu tehlikeye vurgu yapılarak, düzenlemelerin haksız rekabetin ve tekelleşmenin önlenmesi, etkin ve adil bir rekabet ortamının korunması amacıyla getirildiği belirtilmiştir. Bu itibarla, rekabet hukuku perspektifinden satıcıların çoklu platform kullanma özgürlüğü, piyasalar arası rekabetin sağlıklı işlemesi için korunması gereken bir ilkedir.</w:t>
      </w:r>
    </w:p>
    <w:p w14:paraId="3ED8F7EA" w14:textId="38E06036" w:rsidR="000C0618" w:rsidRPr="00EB2DC8" w:rsidRDefault="000C0618" w:rsidP="000C0618">
      <w:pPr>
        <w:jc w:val="both"/>
        <w:rPr>
          <w:rFonts w:ascii="Times New Roman" w:hAnsi="Times New Roman" w:cs="Times New Roman"/>
          <w:sz w:val="22"/>
          <w:szCs w:val="22"/>
        </w:rPr>
      </w:pPr>
      <w:r w:rsidRPr="00EB2DC8">
        <w:rPr>
          <w:rFonts w:ascii="Times New Roman" w:hAnsi="Times New Roman" w:cs="Times New Roman"/>
          <w:b/>
          <w:bCs/>
          <w:sz w:val="22"/>
          <w:szCs w:val="22"/>
          <w:u w:val="single"/>
        </w:rPr>
        <w:t xml:space="preserve">Rekabet Kanun’un 6. </w:t>
      </w:r>
      <w:r w:rsidR="000D41D2" w:rsidRPr="00EB2DC8">
        <w:rPr>
          <w:rFonts w:ascii="Times New Roman" w:hAnsi="Times New Roman" w:cs="Times New Roman"/>
          <w:b/>
          <w:bCs/>
          <w:sz w:val="22"/>
          <w:szCs w:val="22"/>
          <w:u w:val="single"/>
        </w:rPr>
        <w:t>M</w:t>
      </w:r>
      <w:r w:rsidRPr="00EB2DC8">
        <w:rPr>
          <w:rFonts w:ascii="Times New Roman" w:hAnsi="Times New Roman" w:cs="Times New Roman"/>
          <w:b/>
          <w:bCs/>
          <w:sz w:val="22"/>
          <w:szCs w:val="22"/>
          <w:u w:val="single"/>
        </w:rPr>
        <w:t xml:space="preserve">addesi uyarınca hâkim (dominant) durumda olan teşebbüslerin piyasa gücünü kötüye kullanmaları yasaktır. Eğer bir e-ticaret platformu ilgili piyasada </w:t>
      </w:r>
      <w:proofErr w:type="gramStart"/>
      <w:r w:rsidRPr="00EB2DC8">
        <w:rPr>
          <w:rFonts w:ascii="Times New Roman" w:hAnsi="Times New Roman" w:cs="Times New Roman"/>
          <w:b/>
          <w:bCs/>
          <w:sz w:val="22"/>
          <w:szCs w:val="22"/>
          <w:u w:val="single"/>
        </w:rPr>
        <w:t>hakim</w:t>
      </w:r>
      <w:proofErr w:type="gramEnd"/>
      <w:r w:rsidRPr="00EB2DC8">
        <w:rPr>
          <w:rFonts w:ascii="Times New Roman" w:hAnsi="Times New Roman" w:cs="Times New Roman"/>
          <w:b/>
          <w:bCs/>
          <w:sz w:val="22"/>
          <w:szCs w:val="22"/>
          <w:u w:val="single"/>
        </w:rPr>
        <w:t xml:space="preserve"> durumda ise, satıcıları sadece kendi platformunda satış yapmak üzere zorlaması veya diğer platformlarda faaliyet gösteren satıcıları cezalandırması, hâkim durumun kötüye kullanılması kapsamında değerlendirilebilir.</w:t>
      </w:r>
      <w:r w:rsidRPr="00EB2DC8">
        <w:rPr>
          <w:rFonts w:ascii="Times New Roman" w:hAnsi="Times New Roman" w:cs="Times New Roman"/>
          <w:sz w:val="22"/>
          <w:szCs w:val="22"/>
        </w:rPr>
        <w:t xml:space="preserve"> Böyle bir durumda Rekabet Kurumu, </w:t>
      </w:r>
      <w:proofErr w:type="spellStart"/>
      <w:r w:rsidRPr="00EB2DC8">
        <w:rPr>
          <w:rFonts w:ascii="Times New Roman" w:hAnsi="Times New Roman" w:cs="Times New Roman"/>
          <w:sz w:val="22"/>
          <w:szCs w:val="22"/>
        </w:rPr>
        <w:t>re’sen</w:t>
      </w:r>
      <w:proofErr w:type="spellEnd"/>
      <w:r w:rsidRPr="00EB2DC8">
        <w:rPr>
          <w:rFonts w:ascii="Times New Roman" w:hAnsi="Times New Roman" w:cs="Times New Roman"/>
          <w:sz w:val="22"/>
          <w:szCs w:val="22"/>
        </w:rPr>
        <w:t xml:space="preserve"> veya şikâyet üzerine devreye girerek söz konusu platforma yaptırım uygulayabilir. Nitekim uygulamada, Türkiye’de önde gelen bir pazaryeri platformunun, kendi bünyesindeki satıcı verilerini kullanarak rakiplerine karşı avantaj elde etmesi ve satıcıların başka platformlarda faaliyetlerini zorlaştırması iddiaları üzerine Rekabet Kurumu soruşturmalar yürütmüştür. Bu gibi durumlar, eşitlik ve rekabet ilkelerine aykırı görülmekte ve platformların özel sorumluluğu kapsamında incelenmektedir.</w:t>
      </w:r>
    </w:p>
    <w:p w14:paraId="24ABAE17" w14:textId="77777777" w:rsidR="000C0618" w:rsidRPr="00EB2DC8" w:rsidRDefault="000C0618" w:rsidP="000C0618">
      <w:pPr>
        <w:jc w:val="both"/>
        <w:rPr>
          <w:rFonts w:ascii="Times New Roman" w:hAnsi="Times New Roman" w:cs="Times New Roman"/>
          <w:sz w:val="22"/>
          <w:szCs w:val="22"/>
        </w:rPr>
      </w:pPr>
      <w:r w:rsidRPr="00EB2DC8">
        <w:rPr>
          <w:rFonts w:ascii="Times New Roman" w:hAnsi="Times New Roman" w:cs="Times New Roman"/>
          <w:b/>
          <w:bCs/>
          <w:sz w:val="22"/>
          <w:szCs w:val="22"/>
          <w:u w:val="single"/>
        </w:rPr>
        <w:t>Eşitlik ilkesi bağlamında, e-ticaret platformlarının benzer durumdaki satıcılara adil ve ayrımcı olmayan koşullar sunması beklenir.</w:t>
      </w:r>
      <w:r w:rsidRPr="00EB2DC8">
        <w:rPr>
          <w:rFonts w:ascii="Times New Roman" w:hAnsi="Times New Roman" w:cs="Times New Roman"/>
          <w:sz w:val="22"/>
          <w:szCs w:val="22"/>
        </w:rPr>
        <w:t xml:space="preserve"> Yeni düzenlemeler de bu yönde hükümler içermektedir. Örneğin, aracılık sözleşmesinde nesnel ölçüt belirtilmeden veya haklı bir gerekçe olmaksızın satıcının sıralamada geriye düşürülmesi, hizmetinin askıya alınması veya sonlandırılması haksız uygulama sayılmıştır. Bu, platformların keyfi ayrım yaparak sadece belirli satıcıları – örneğin başka platformlarda da satış yapıyor diye – dezavantajlı konuma getirmesini engeller. Tüm satıcılar için eşit rekabet şartları sağlanması, hem </w:t>
      </w:r>
      <w:r w:rsidRPr="00EB2DC8">
        <w:rPr>
          <w:rFonts w:ascii="Times New Roman" w:hAnsi="Times New Roman" w:cs="Times New Roman"/>
          <w:sz w:val="22"/>
          <w:szCs w:val="22"/>
        </w:rPr>
        <w:lastRenderedPageBreak/>
        <w:t>özel hukuk (haksız rekabet, dürüstlük ilkesi) hem de rekabet hukuku (ayrımcılık yasağı) açısından önem arz eder. E-ticaret ekosisteminde satıcıların platformlar arası serbest geçişliliği ve veriye erişimi ne kadar güvence altına alınırsa, piyasada o derece rekabetçi ve dinamik bir ortam oluşacaktır.</w:t>
      </w:r>
    </w:p>
    <w:p w14:paraId="69427947" w14:textId="77777777" w:rsidR="000C0618" w:rsidRPr="00EB2DC8" w:rsidRDefault="000C0618" w:rsidP="000C0618">
      <w:pPr>
        <w:jc w:val="both"/>
        <w:rPr>
          <w:rFonts w:ascii="Times New Roman" w:hAnsi="Times New Roman" w:cs="Times New Roman"/>
          <w:b/>
          <w:bCs/>
          <w:sz w:val="22"/>
          <w:szCs w:val="22"/>
        </w:rPr>
      </w:pPr>
      <w:r w:rsidRPr="00EB2DC8">
        <w:rPr>
          <w:rFonts w:ascii="Times New Roman" w:hAnsi="Times New Roman" w:cs="Times New Roman"/>
          <w:b/>
          <w:bCs/>
          <w:sz w:val="22"/>
          <w:szCs w:val="22"/>
        </w:rPr>
        <w:t>Değerlendirme</w:t>
      </w:r>
    </w:p>
    <w:p w14:paraId="3633793A" w14:textId="77777777" w:rsidR="000C0618" w:rsidRPr="00EB2DC8" w:rsidRDefault="000C0618" w:rsidP="000C0618">
      <w:pPr>
        <w:jc w:val="both"/>
        <w:rPr>
          <w:rFonts w:ascii="Times New Roman" w:hAnsi="Times New Roman" w:cs="Times New Roman"/>
          <w:sz w:val="22"/>
          <w:szCs w:val="22"/>
        </w:rPr>
      </w:pPr>
      <w:r w:rsidRPr="00EB2DC8">
        <w:rPr>
          <w:rFonts w:ascii="Times New Roman" w:hAnsi="Times New Roman" w:cs="Times New Roman"/>
          <w:sz w:val="22"/>
          <w:szCs w:val="22"/>
        </w:rPr>
        <w:t xml:space="preserve">Sonuç olarak, güncel mevzuat ışığında Türkiye’de bir satıcının çapraz platformda satış yapma hakkı güçlü biçimde korunmaktadır. Özellikle büyük e-ticaret pazaryerleri, satıcıların alternatif platformlarda faaliyet göstermesini veya farklı fiyat politikaları uygulamasını kısıtlayacak hüküm ve uygulamalardan kaçınmak zorundadır. Aksi yönde şartlar, ETK ve ilgili Yönetmelik uyarınca geçersiz olup idari para cezaları ve diğer yaptırımlarla karşılaşma riski doğurmaktadır. Platformlar arası veri paylaşımı ve içerik eşzamanlılığı konusunda getirilen yeni yükümlülükler, satıcılara kendi verilerine erişim ve bunları diğer kanallarda kullanabilme imkânı tanıyarak bilgi asimetrisini azaltmıştır. Rekabet hukuku boyutunda ise, çapraz platform satış serbestisi piyasa rekabetinin güvencesi olarak görülmekte; tekelleşme veya satıcılar arasında ayrımcılık yaratabilecek uygulamalara karşı hem </w:t>
      </w:r>
      <w:proofErr w:type="spellStart"/>
      <w:r w:rsidRPr="00EB2DC8">
        <w:rPr>
          <w:rFonts w:ascii="Times New Roman" w:hAnsi="Times New Roman" w:cs="Times New Roman"/>
          <w:sz w:val="22"/>
          <w:szCs w:val="22"/>
        </w:rPr>
        <w:t>ex</w:t>
      </w:r>
      <w:proofErr w:type="spellEnd"/>
      <w:r w:rsidRPr="00EB2DC8">
        <w:rPr>
          <w:rFonts w:ascii="Times New Roman" w:hAnsi="Times New Roman" w:cs="Times New Roman"/>
          <w:sz w:val="22"/>
          <w:szCs w:val="22"/>
        </w:rPr>
        <w:t xml:space="preserve"> </w:t>
      </w:r>
      <w:proofErr w:type="spellStart"/>
      <w:r w:rsidRPr="00EB2DC8">
        <w:rPr>
          <w:rFonts w:ascii="Times New Roman" w:hAnsi="Times New Roman" w:cs="Times New Roman"/>
          <w:sz w:val="22"/>
          <w:szCs w:val="22"/>
        </w:rPr>
        <w:t>ante</w:t>
      </w:r>
      <w:proofErr w:type="spellEnd"/>
      <w:r w:rsidRPr="00EB2DC8">
        <w:rPr>
          <w:rFonts w:ascii="Times New Roman" w:hAnsi="Times New Roman" w:cs="Times New Roman"/>
          <w:sz w:val="22"/>
          <w:szCs w:val="22"/>
        </w:rPr>
        <w:t xml:space="preserve"> düzenlemelerle hem de Rekabet Kurumu denetimiyle önlem alınmaktadır.</w:t>
      </w:r>
    </w:p>
    <w:p w14:paraId="6FBE7724" w14:textId="77777777" w:rsidR="000C0618" w:rsidRPr="00EB2DC8" w:rsidRDefault="000C0618" w:rsidP="000C0618">
      <w:pPr>
        <w:jc w:val="both"/>
        <w:rPr>
          <w:rFonts w:ascii="Times New Roman" w:hAnsi="Times New Roman" w:cs="Times New Roman"/>
          <w:sz w:val="22"/>
          <w:szCs w:val="22"/>
        </w:rPr>
      </w:pPr>
      <w:r w:rsidRPr="00EB2DC8">
        <w:rPr>
          <w:rFonts w:ascii="Times New Roman" w:hAnsi="Times New Roman" w:cs="Times New Roman"/>
          <w:sz w:val="22"/>
          <w:szCs w:val="22"/>
        </w:rPr>
        <w:t>Türkiye’de e-ticaret sektörüne getirilen bu yenilikçi düzenlemeler, satıcı-ETAHS ilişkilerinde şeffaflık, adillik ve rekabetçi dengeyi tesis etmeyi amaçlamaktadır. Çapraz platform satış özgürlüğünün hukukî çerçevede güvence altına alınması, satıcıların daha geniş pazarlara erişimine ve tüketicilerin daha rekabetçi fiyatlara ulaşmasına hizmet eder. Mevzuata uyum sağlamak adına, e-ticaret aracı hizmet sağlayıcıların sözleşmelerini ve uygulamalarını gözden geçirerek haksız şartları ayıklamaları; satıcıların ise haklarının farkında olarak gerektiğinde hukuki yollara başvurmaları önem taşımaktadır. Bu sayede, dijital ekonomide sürdürülebilir bir büyüme ve etkin rekabet ortamı mümkün olabilecektir.</w:t>
      </w:r>
    </w:p>
    <w:p w14:paraId="7D2101D7" w14:textId="4773F751" w:rsidR="004C39FC" w:rsidRPr="00EB2DC8" w:rsidRDefault="004C39FC" w:rsidP="004C39FC">
      <w:pPr>
        <w:jc w:val="both"/>
        <w:rPr>
          <w:rFonts w:ascii="Times New Roman" w:hAnsi="Times New Roman" w:cs="Times New Roman"/>
          <w:sz w:val="22"/>
          <w:szCs w:val="22"/>
        </w:rPr>
      </w:pPr>
    </w:p>
    <w:p w14:paraId="0F9E0200" w14:textId="7BBB0E20" w:rsidR="004C39FC" w:rsidRPr="00EB2DC8" w:rsidRDefault="004C39FC" w:rsidP="00EB2DC8">
      <w:pPr>
        <w:ind w:left="142"/>
        <w:jc w:val="right"/>
        <w:rPr>
          <w:rFonts w:ascii="Times New Roman" w:hAnsi="Times New Roman" w:cs="Times New Roman"/>
          <w:b/>
          <w:bCs/>
          <w:sz w:val="22"/>
          <w:szCs w:val="22"/>
        </w:rPr>
      </w:pPr>
      <w:r w:rsidRPr="00EB2DC8">
        <w:rPr>
          <w:rFonts w:ascii="Times New Roman" w:hAnsi="Times New Roman" w:cs="Times New Roman"/>
          <w:b/>
          <w:bCs/>
          <w:sz w:val="22"/>
          <w:szCs w:val="22"/>
        </w:rPr>
        <w:t>1 ARALIK 2025</w:t>
      </w:r>
    </w:p>
    <w:p w14:paraId="2B907B88" w14:textId="6B56506E" w:rsidR="004C39FC" w:rsidRPr="00EB2DC8" w:rsidRDefault="004C39FC" w:rsidP="00EB2DC8">
      <w:pPr>
        <w:pStyle w:val="ListeParagraf"/>
        <w:numPr>
          <w:ilvl w:val="0"/>
          <w:numId w:val="1"/>
        </w:numPr>
        <w:ind w:left="142"/>
        <w:jc w:val="both"/>
        <w:rPr>
          <w:rFonts w:ascii="Times New Roman" w:hAnsi="Times New Roman" w:cs="Times New Roman"/>
          <w:b/>
          <w:bCs/>
          <w:sz w:val="22"/>
          <w:szCs w:val="22"/>
        </w:rPr>
      </w:pPr>
      <w:r w:rsidRPr="00EB2DC8">
        <w:rPr>
          <w:rFonts w:ascii="Times New Roman" w:hAnsi="Times New Roman" w:cs="Times New Roman"/>
          <w:b/>
          <w:bCs/>
          <w:sz w:val="22"/>
          <w:szCs w:val="22"/>
        </w:rPr>
        <w:t>E- TİCARETTE HAKSIZ TİCARİ UYGULAMALAR VE YAPTIRIMLARIN HUKUKİ NİTELİĞİ</w:t>
      </w:r>
    </w:p>
    <w:p w14:paraId="0270D6C1" w14:textId="77777777" w:rsidR="004C39FC" w:rsidRPr="00EB2DC8" w:rsidRDefault="004C39FC" w:rsidP="004C39FC">
      <w:pPr>
        <w:jc w:val="both"/>
        <w:rPr>
          <w:rFonts w:ascii="Times New Roman" w:hAnsi="Times New Roman" w:cs="Times New Roman"/>
          <w:sz w:val="22"/>
          <w:szCs w:val="22"/>
        </w:rPr>
      </w:pPr>
    </w:p>
    <w:p w14:paraId="13EA6CD8"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Elektronik ticaret alanında faaliyet gösteren hizmet sağlayıcılar ve aracı hizmet sağlayıcılar, dijital ortamda hem tüketiciye hem de diğer satıcılara karşı şeffaf, dürüst ve ölçülü davranmakla yükümlüdür. Bu yükümlülüklerin ihlali, 6563 sayılı Elektronik Ticaretin Düzenlenmesi Hakkında Kanun (“</w:t>
      </w:r>
      <w:r w:rsidRPr="00EB2DC8">
        <w:rPr>
          <w:rFonts w:ascii="Times New Roman" w:eastAsia="Times New Roman" w:hAnsi="Times New Roman" w:cs="Times New Roman"/>
          <w:b/>
          <w:bCs/>
          <w:kern w:val="0"/>
          <w:sz w:val="22"/>
          <w:szCs w:val="22"/>
          <w:bdr w:val="none" w:sz="0" w:space="0" w:color="auto" w:frame="1"/>
          <w:lang w:eastAsia="tr-TR"/>
          <w14:ligatures w14:val="none"/>
        </w:rPr>
        <w:t>ETK</w:t>
      </w:r>
      <w:r w:rsidRPr="00EB2DC8">
        <w:rPr>
          <w:rFonts w:ascii="Times New Roman" w:eastAsia="Times New Roman" w:hAnsi="Times New Roman" w:cs="Times New Roman"/>
          <w:kern w:val="0"/>
          <w:sz w:val="22"/>
          <w:szCs w:val="22"/>
          <w:lang w:eastAsia="tr-TR"/>
          <w14:ligatures w14:val="none"/>
        </w:rPr>
        <w:t>”) ve bu Kanun uyarınca çıkarılan ikincil düzenlemelerde haksız ticari uygulama olarak tanımlanan eylem türleri kapsamında idari yaptırımlara konu olabilmektedir.</w:t>
      </w:r>
    </w:p>
    <w:p w14:paraId="235E4C99"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Haksız ticari uygulamalar, esas itibarıyla hem tüketicinin ekonomik davranış özgürlüğünü zedeleyen hem de piyasa işleyişini bozucu nitelikteki eylemleri kapsar. Türk mevzuatında bu alan üç temel düzenleme üzerinden şekillenmiştir:</w:t>
      </w:r>
    </w:p>
    <w:p w14:paraId="5B05F7D9" w14:textId="3EB00A11"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ETK- Elektronik Ticaret Aracı Hizmet Sağlayıcı ve Elektronik Ticaret Hizmet Sağlayıcılar Hakkında Yönetmelik (“</w:t>
      </w:r>
      <w:r w:rsidRPr="00EB2DC8">
        <w:rPr>
          <w:rFonts w:ascii="Times New Roman" w:eastAsia="Times New Roman" w:hAnsi="Times New Roman" w:cs="Times New Roman"/>
          <w:b/>
          <w:bCs/>
          <w:kern w:val="0"/>
          <w:sz w:val="22"/>
          <w:szCs w:val="22"/>
          <w:bdr w:val="none" w:sz="0" w:space="0" w:color="auto" w:frame="1"/>
          <w:lang w:eastAsia="tr-TR"/>
          <w14:ligatures w14:val="none"/>
        </w:rPr>
        <w:t>E-Ticaret Yönetmeliği</w:t>
      </w:r>
      <w:r w:rsidRPr="00EB2DC8">
        <w:rPr>
          <w:rFonts w:ascii="Times New Roman" w:eastAsia="Times New Roman" w:hAnsi="Times New Roman" w:cs="Times New Roman"/>
          <w:kern w:val="0"/>
          <w:sz w:val="22"/>
          <w:szCs w:val="22"/>
          <w:lang w:eastAsia="tr-TR"/>
          <w14:ligatures w14:val="none"/>
        </w:rPr>
        <w:t>”),</w:t>
      </w:r>
    </w:p>
    <w:p w14:paraId="0F022DC1"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Ticari Reklam ve Haksız Ticari Uygulamalar Yönetmeliği (“</w:t>
      </w:r>
      <w:r w:rsidRPr="00EB2DC8">
        <w:rPr>
          <w:rFonts w:ascii="Times New Roman" w:eastAsia="Times New Roman" w:hAnsi="Times New Roman" w:cs="Times New Roman"/>
          <w:b/>
          <w:bCs/>
          <w:kern w:val="0"/>
          <w:sz w:val="22"/>
          <w:szCs w:val="22"/>
          <w:bdr w:val="none" w:sz="0" w:space="0" w:color="auto" w:frame="1"/>
          <w:lang w:eastAsia="tr-TR"/>
          <w14:ligatures w14:val="none"/>
        </w:rPr>
        <w:t>Reklam Yönetmeliği</w:t>
      </w:r>
      <w:r w:rsidRPr="00EB2DC8">
        <w:rPr>
          <w:rFonts w:ascii="Times New Roman" w:eastAsia="Times New Roman" w:hAnsi="Times New Roman" w:cs="Times New Roman"/>
          <w:kern w:val="0"/>
          <w:sz w:val="22"/>
          <w:szCs w:val="22"/>
          <w:lang w:eastAsia="tr-TR"/>
          <w14:ligatures w14:val="none"/>
        </w:rPr>
        <w:t>”).</w:t>
      </w:r>
    </w:p>
    <w:p w14:paraId="5E6BF2BC"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p>
    <w:p w14:paraId="761C8B49"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p>
    <w:p w14:paraId="053AD5AE"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p>
    <w:p w14:paraId="30C56915"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p>
    <w:p w14:paraId="2EF6D0A8"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p>
    <w:p w14:paraId="61A20A7F" w14:textId="77777777" w:rsidR="00EB2DC8" w:rsidRPr="00EB2DC8" w:rsidRDefault="00EB2DC8" w:rsidP="00EB2DC8">
      <w:pPr>
        <w:spacing w:after="240" w:line="240" w:lineRule="auto"/>
        <w:jc w:val="both"/>
        <w:textAlignment w:val="baseline"/>
        <w:outlineLvl w:val="2"/>
        <w:rPr>
          <w:rFonts w:ascii="Times New Roman" w:eastAsia="Times New Roman" w:hAnsi="Times New Roman" w:cs="Times New Roman"/>
          <w:b/>
          <w:bCs/>
          <w:kern w:val="0"/>
          <w:sz w:val="22"/>
          <w:szCs w:val="22"/>
          <w:lang w:eastAsia="tr-TR"/>
          <w14:ligatures w14:val="none"/>
        </w:rPr>
      </w:pPr>
      <w:r w:rsidRPr="00EB2DC8">
        <w:rPr>
          <w:rFonts w:ascii="Times New Roman" w:eastAsia="Times New Roman" w:hAnsi="Times New Roman" w:cs="Times New Roman"/>
          <w:b/>
          <w:bCs/>
          <w:kern w:val="0"/>
          <w:sz w:val="22"/>
          <w:szCs w:val="22"/>
          <w:lang w:eastAsia="tr-TR"/>
          <w14:ligatures w14:val="none"/>
        </w:rPr>
        <w:lastRenderedPageBreak/>
        <w:t>1- Hukuki Çerçeve ve Kavramsal Tanım</w:t>
      </w:r>
    </w:p>
    <w:p w14:paraId="20798B9F"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b/>
          <w:bCs/>
          <w:kern w:val="0"/>
          <w:sz w:val="22"/>
          <w:szCs w:val="22"/>
          <w:bdr w:val="none" w:sz="0" w:space="0" w:color="auto" w:frame="1"/>
          <w:lang w:eastAsia="tr-TR"/>
          <w14:ligatures w14:val="none"/>
        </w:rPr>
        <w:t>A- Kanuni Dayanak</w:t>
      </w:r>
    </w:p>
    <w:p w14:paraId="71EE124C"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proofErr w:type="spellStart"/>
      <w:r w:rsidRPr="00EB2DC8">
        <w:rPr>
          <w:rFonts w:ascii="Times New Roman" w:eastAsia="Times New Roman" w:hAnsi="Times New Roman" w:cs="Times New Roman"/>
          <w:kern w:val="0"/>
          <w:sz w:val="22"/>
          <w:szCs w:val="22"/>
          <w:lang w:eastAsia="tr-TR"/>
          <w14:ligatures w14:val="none"/>
        </w:rPr>
        <w:t>ETK’nın</w:t>
      </w:r>
      <w:proofErr w:type="spellEnd"/>
      <w:r w:rsidRPr="00EB2DC8">
        <w:rPr>
          <w:rFonts w:ascii="Times New Roman" w:eastAsia="Times New Roman" w:hAnsi="Times New Roman" w:cs="Times New Roman"/>
          <w:kern w:val="0"/>
          <w:sz w:val="22"/>
          <w:szCs w:val="22"/>
          <w:lang w:eastAsia="tr-TR"/>
          <w14:ligatures w14:val="none"/>
        </w:rPr>
        <w:t xml:space="preserve"> Ek-1 maddesi uyarınca, aracı hizmet sağlayıcılar (“</w:t>
      </w:r>
      <w:r w:rsidRPr="00EB2DC8">
        <w:rPr>
          <w:rFonts w:ascii="Times New Roman" w:eastAsia="Times New Roman" w:hAnsi="Times New Roman" w:cs="Times New Roman"/>
          <w:b/>
          <w:bCs/>
          <w:kern w:val="0"/>
          <w:sz w:val="22"/>
          <w:szCs w:val="22"/>
          <w:bdr w:val="none" w:sz="0" w:space="0" w:color="auto" w:frame="1"/>
          <w:lang w:eastAsia="tr-TR"/>
          <w14:ligatures w14:val="none"/>
        </w:rPr>
        <w:t>ETAHS</w:t>
      </w:r>
      <w:r w:rsidRPr="00EB2DC8">
        <w:rPr>
          <w:rFonts w:ascii="Times New Roman" w:eastAsia="Times New Roman" w:hAnsi="Times New Roman" w:cs="Times New Roman"/>
          <w:kern w:val="0"/>
          <w:sz w:val="22"/>
          <w:szCs w:val="22"/>
          <w:lang w:eastAsia="tr-TR"/>
          <w14:ligatures w14:val="none"/>
        </w:rPr>
        <w:t>”) ve elektronik ticaret hizmet sağlayıcılar (“</w:t>
      </w:r>
      <w:r w:rsidRPr="00EB2DC8">
        <w:rPr>
          <w:rFonts w:ascii="Times New Roman" w:eastAsia="Times New Roman" w:hAnsi="Times New Roman" w:cs="Times New Roman"/>
          <w:b/>
          <w:bCs/>
          <w:kern w:val="0"/>
          <w:sz w:val="22"/>
          <w:szCs w:val="22"/>
          <w:bdr w:val="none" w:sz="0" w:space="0" w:color="auto" w:frame="1"/>
          <w:lang w:eastAsia="tr-TR"/>
          <w14:ligatures w14:val="none"/>
        </w:rPr>
        <w:t>ETHS</w:t>
      </w:r>
      <w:r w:rsidRPr="00EB2DC8">
        <w:rPr>
          <w:rFonts w:ascii="Times New Roman" w:eastAsia="Times New Roman" w:hAnsi="Times New Roman" w:cs="Times New Roman"/>
          <w:kern w:val="0"/>
          <w:sz w:val="22"/>
          <w:szCs w:val="22"/>
          <w:lang w:eastAsia="tr-TR"/>
          <w14:ligatures w14:val="none"/>
        </w:rPr>
        <w:t>”), faaliyetlerinde haksız ticari uygulamalarda bulunmayacağı belirtilir.</w:t>
      </w:r>
    </w:p>
    <w:p w14:paraId="5540EF02" w14:textId="77777777" w:rsidR="00EB2DC8" w:rsidRPr="00EB2DC8" w:rsidRDefault="00EB2DC8" w:rsidP="00EB2DC8">
      <w:pPr>
        <w:spacing w:after="0" w:line="240" w:lineRule="auto"/>
        <w:jc w:val="both"/>
        <w:textAlignment w:val="baseline"/>
        <w:rPr>
          <w:rFonts w:ascii="Times New Roman" w:eastAsia="Times New Roman" w:hAnsi="Times New Roman" w:cs="Times New Roman"/>
          <w:color w:val="56687A"/>
          <w:kern w:val="0"/>
          <w:sz w:val="22"/>
          <w:szCs w:val="22"/>
          <w:lang w:eastAsia="tr-TR"/>
          <w14:ligatures w14:val="none"/>
        </w:rPr>
      </w:pPr>
      <w:r w:rsidRPr="00EB2DC8">
        <w:rPr>
          <w:rFonts w:ascii="Times New Roman" w:eastAsia="Times New Roman" w:hAnsi="Times New Roman" w:cs="Times New Roman"/>
          <w:i/>
          <w:iCs/>
          <w:color w:val="56687A"/>
          <w:kern w:val="0"/>
          <w:sz w:val="22"/>
          <w:szCs w:val="22"/>
          <w:bdr w:val="none" w:sz="0" w:space="0" w:color="auto" w:frame="1"/>
          <w:lang w:eastAsia="tr-TR"/>
          <w14:ligatures w14:val="none"/>
        </w:rPr>
        <w:t>“Elektronik ticarette haksız ticari uygulamada bulunulamaz. Elektronik ticaret aracı hizmet sağlayıcının, aracılık hizmeti sunduğu elektronik ticaret hizmet sağlayıcının ticari faaliyetlerini önemli ölçüde bozan, makul karar verme yeteneğini azaltan veya belirli bir kararı almaya zorlayarak normal şartlarda taraf olmayacağı bir ticari ilişkinin tarafı olmasına sebep olan uygulamalarının haksız olduğu kabul edilir.”</w:t>
      </w:r>
    </w:p>
    <w:p w14:paraId="371E143E"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E-Ticaret Yönetmeliği’nin 2. ve 11. maddeleri, elektronik ticarette</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i/>
          <w:iCs/>
          <w:kern w:val="0"/>
          <w:sz w:val="22"/>
          <w:szCs w:val="22"/>
          <w:bdr w:val="none" w:sz="0" w:space="0" w:color="auto" w:frame="1"/>
          <w:lang w:eastAsia="tr-TR"/>
          <w14:ligatures w14:val="none"/>
        </w:rPr>
        <w:t>haksız ticari uygulama</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kern w:val="0"/>
          <w:sz w:val="22"/>
          <w:szCs w:val="22"/>
          <w:lang w:eastAsia="tr-TR"/>
          <w14:ligatures w14:val="none"/>
        </w:rPr>
        <w:t>kavramını ayrıca tanımlamış; bu uygulamalara ilişkin</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b/>
          <w:bCs/>
          <w:kern w:val="0"/>
          <w:sz w:val="22"/>
          <w:szCs w:val="22"/>
          <w:bdr w:val="none" w:sz="0" w:space="0" w:color="auto" w:frame="1"/>
          <w:lang w:eastAsia="tr-TR"/>
          <w14:ligatures w14:val="none"/>
        </w:rPr>
        <w:t>yasak davranış türlerini</w:t>
      </w:r>
      <w:r w:rsidRPr="00EB2DC8">
        <w:rPr>
          <w:rFonts w:ascii="Times New Roman" w:eastAsia="Times New Roman" w:hAnsi="Times New Roman" w:cs="Times New Roman"/>
          <w:kern w:val="0"/>
          <w:sz w:val="22"/>
          <w:szCs w:val="22"/>
          <w:lang w:eastAsia="tr-TR"/>
          <w14:ligatures w14:val="none"/>
        </w:rPr>
        <w:t>,</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b/>
          <w:bCs/>
          <w:kern w:val="0"/>
          <w:sz w:val="22"/>
          <w:szCs w:val="22"/>
          <w:bdr w:val="none" w:sz="0" w:space="0" w:color="auto" w:frame="1"/>
          <w:lang w:eastAsia="tr-TR"/>
          <w14:ligatures w14:val="none"/>
        </w:rPr>
        <w:t>önleyici tedbirleri</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kern w:val="0"/>
          <w:sz w:val="22"/>
          <w:szCs w:val="22"/>
          <w:lang w:eastAsia="tr-TR"/>
          <w14:ligatures w14:val="none"/>
        </w:rPr>
        <w:t>ve</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b/>
          <w:bCs/>
          <w:kern w:val="0"/>
          <w:sz w:val="22"/>
          <w:szCs w:val="22"/>
          <w:bdr w:val="none" w:sz="0" w:space="0" w:color="auto" w:frame="1"/>
          <w:lang w:eastAsia="tr-TR"/>
          <w14:ligatures w14:val="none"/>
        </w:rPr>
        <w:t>idari yaptırımları</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kern w:val="0"/>
          <w:sz w:val="22"/>
          <w:szCs w:val="22"/>
          <w:lang w:eastAsia="tr-TR"/>
          <w14:ligatures w14:val="none"/>
        </w:rPr>
        <w:t>açıkça düzenlemiştir.</w:t>
      </w:r>
    </w:p>
    <w:p w14:paraId="17FB534F"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i/>
          <w:iCs/>
          <w:kern w:val="0"/>
          <w:sz w:val="22"/>
          <w:szCs w:val="22"/>
          <w:bdr w:val="none" w:sz="0" w:space="0" w:color="auto" w:frame="1"/>
          <w:lang w:eastAsia="tr-TR"/>
          <w14:ligatures w14:val="none"/>
        </w:rPr>
        <w:t>“</w:t>
      </w:r>
      <w:r w:rsidRPr="00EB2DC8">
        <w:rPr>
          <w:rFonts w:ascii="Times New Roman" w:eastAsia="Times New Roman" w:hAnsi="Times New Roman" w:cs="Times New Roman"/>
          <w:b/>
          <w:bCs/>
          <w:i/>
          <w:iCs/>
          <w:kern w:val="0"/>
          <w:sz w:val="22"/>
          <w:szCs w:val="22"/>
          <w:bdr w:val="none" w:sz="0" w:space="0" w:color="auto" w:frame="1"/>
          <w:lang w:eastAsia="tr-TR"/>
          <w14:ligatures w14:val="none"/>
        </w:rPr>
        <w:t xml:space="preserve">MADDE 11- </w:t>
      </w:r>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(1) Elektronik ticarette haksız ticari uygulamada bulunulamaz. </w:t>
      </w:r>
      <w:proofErr w:type="spellStart"/>
      <w:r w:rsidRPr="00EB2DC8">
        <w:rPr>
          <w:rFonts w:ascii="Times New Roman" w:eastAsia="Times New Roman" w:hAnsi="Times New Roman" w:cs="Times New Roman"/>
          <w:i/>
          <w:iCs/>
          <w:kern w:val="0"/>
          <w:sz w:val="22"/>
          <w:szCs w:val="22"/>
          <w:bdr w:val="none" w:sz="0" w:space="0" w:color="auto" w:frame="1"/>
          <w:lang w:eastAsia="tr-TR"/>
          <w14:ligatures w14:val="none"/>
        </w:rPr>
        <w:t>ETAHS’nin</w:t>
      </w:r>
      <w:proofErr w:type="spellEnd"/>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 aracılık hizmeti sunduğu </w:t>
      </w:r>
      <w:proofErr w:type="spellStart"/>
      <w:r w:rsidRPr="00EB2DC8">
        <w:rPr>
          <w:rFonts w:ascii="Times New Roman" w:eastAsia="Times New Roman" w:hAnsi="Times New Roman" w:cs="Times New Roman"/>
          <w:i/>
          <w:iCs/>
          <w:kern w:val="0"/>
          <w:sz w:val="22"/>
          <w:szCs w:val="22"/>
          <w:bdr w:val="none" w:sz="0" w:space="0" w:color="auto" w:frame="1"/>
          <w:lang w:eastAsia="tr-TR"/>
          <w14:ligatures w14:val="none"/>
        </w:rPr>
        <w:t>ETHS’nin</w:t>
      </w:r>
      <w:proofErr w:type="spellEnd"/>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 ticari faaliyetlerini önemli ölçüde bozan, makul karar verme yeteneğini azaltan veya belirli bir kararı almaya zorlayarak normal şartlarda taraf olmayacağı bir ticari ilişkinin tarafı olmasına sebep olan uygulamalarının haksız olduğu kabul edilir.</w:t>
      </w:r>
    </w:p>
    <w:p w14:paraId="1FB7CDCD"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i/>
          <w:iCs/>
          <w:kern w:val="0"/>
          <w:sz w:val="22"/>
          <w:szCs w:val="22"/>
          <w:bdr w:val="none" w:sz="0" w:space="0" w:color="auto" w:frame="1"/>
          <w:lang w:eastAsia="tr-TR"/>
          <w14:ligatures w14:val="none"/>
        </w:rPr>
        <w:t>(2) Aşağıda belirtilenler her durumda haksız ticari uygulama sayılır:</w:t>
      </w:r>
    </w:p>
    <w:p w14:paraId="695EEB9D"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a) Mal veya hizmet satışı karşılığında </w:t>
      </w:r>
      <w:proofErr w:type="spellStart"/>
      <w:r w:rsidRPr="00EB2DC8">
        <w:rPr>
          <w:rFonts w:ascii="Times New Roman" w:eastAsia="Times New Roman" w:hAnsi="Times New Roman" w:cs="Times New Roman"/>
          <w:i/>
          <w:iCs/>
          <w:kern w:val="0"/>
          <w:sz w:val="22"/>
          <w:szCs w:val="22"/>
          <w:bdr w:val="none" w:sz="0" w:space="0" w:color="auto" w:frame="1"/>
          <w:lang w:eastAsia="tr-TR"/>
          <w14:ligatures w14:val="none"/>
        </w:rPr>
        <w:t>ETHS’ye</w:t>
      </w:r>
      <w:proofErr w:type="spellEnd"/>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 yapılması gereken ödemenin en geç, ürün satış bedelinin </w:t>
      </w:r>
      <w:proofErr w:type="spellStart"/>
      <w:r w:rsidRPr="00EB2DC8">
        <w:rPr>
          <w:rFonts w:ascii="Times New Roman" w:eastAsia="Times New Roman" w:hAnsi="Times New Roman" w:cs="Times New Roman"/>
          <w:i/>
          <w:iCs/>
          <w:kern w:val="0"/>
          <w:sz w:val="22"/>
          <w:szCs w:val="22"/>
          <w:bdr w:val="none" w:sz="0" w:space="0" w:color="auto" w:frame="1"/>
          <w:lang w:eastAsia="tr-TR"/>
          <w14:ligatures w14:val="none"/>
        </w:rPr>
        <w:t>ETAHS’nin</w:t>
      </w:r>
      <w:proofErr w:type="spellEnd"/>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 tasarrufuna girdiği ve siparişin alıcıya ulaştığı tarihten itibaren beş iş günü içinde bedelin tamamını içerecek şekilde yapılmaması.</w:t>
      </w:r>
    </w:p>
    <w:p w14:paraId="7981E470"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b) ETAHS tarafından satış fiyatında tek taraflı değişiklik yapılması dâhil olmak üzere, </w:t>
      </w:r>
      <w:proofErr w:type="spellStart"/>
      <w:r w:rsidRPr="00EB2DC8">
        <w:rPr>
          <w:rFonts w:ascii="Times New Roman" w:eastAsia="Times New Roman" w:hAnsi="Times New Roman" w:cs="Times New Roman"/>
          <w:i/>
          <w:iCs/>
          <w:kern w:val="0"/>
          <w:sz w:val="22"/>
          <w:szCs w:val="22"/>
          <w:bdr w:val="none" w:sz="0" w:space="0" w:color="auto" w:frame="1"/>
          <w:lang w:eastAsia="tr-TR"/>
          <w14:ligatures w14:val="none"/>
        </w:rPr>
        <w:t>ETHS’nin</w:t>
      </w:r>
      <w:proofErr w:type="spellEnd"/>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 kampanyalı mal veya hizmet satışına zorlanması.</w:t>
      </w:r>
    </w:p>
    <w:p w14:paraId="072586F1"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i/>
          <w:iCs/>
          <w:kern w:val="0"/>
          <w:sz w:val="22"/>
          <w:szCs w:val="22"/>
          <w:bdr w:val="none" w:sz="0" w:space="0" w:color="auto" w:frame="1"/>
          <w:lang w:eastAsia="tr-TR"/>
          <w14:ligatures w14:val="none"/>
        </w:rPr>
        <w:t>c) ETHS ile olan ticari ilişkinin koşullarının, yazılı şekilde veya elektronik ortamda yapılan aracılık sözleşmesiyle belirlenmemesi, bu sözleşmenin açık ve anlaşılır olmaması veya bu sözleşmenin sonradan ETHS tarafından erişilebilecek şekilde dâhili iletişim sisteminde saklanmaması.</w:t>
      </w:r>
    </w:p>
    <w:p w14:paraId="45B66E8B"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ç) </w:t>
      </w:r>
      <w:proofErr w:type="spellStart"/>
      <w:r w:rsidRPr="00EB2DC8">
        <w:rPr>
          <w:rFonts w:ascii="Times New Roman" w:eastAsia="Times New Roman" w:hAnsi="Times New Roman" w:cs="Times New Roman"/>
          <w:i/>
          <w:iCs/>
          <w:kern w:val="0"/>
          <w:sz w:val="22"/>
          <w:szCs w:val="22"/>
          <w:bdr w:val="none" w:sz="0" w:space="0" w:color="auto" w:frame="1"/>
          <w:lang w:eastAsia="tr-TR"/>
          <w14:ligatures w14:val="none"/>
        </w:rPr>
        <w:t>ETHS’nin</w:t>
      </w:r>
      <w:proofErr w:type="spellEnd"/>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 aleyhine olacak şekilde aracılık sözleşmesi hükümlerinde geçmişe yönelik veya tek taraflı değişiklik yapılması ya da buna imkân sağlayan herhangi bir hükme aracılık sözleşmesinde yer verilmesi.</w:t>
      </w:r>
    </w:p>
    <w:p w14:paraId="02BB9DAC"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d) Herhangi bir hizmet verilmediği veya verilen hizmetin türü ve hizmet bedelinin tutar ya da oranı aracılık sözleşmesinde belirtilmediği hâlde </w:t>
      </w:r>
      <w:proofErr w:type="spellStart"/>
      <w:r w:rsidRPr="00EB2DC8">
        <w:rPr>
          <w:rFonts w:ascii="Times New Roman" w:eastAsia="Times New Roman" w:hAnsi="Times New Roman" w:cs="Times New Roman"/>
          <w:i/>
          <w:iCs/>
          <w:kern w:val="0"/>
          <w:sz w:val="22"/>
          <w:szCs w:val="22"/>
          <w:bdr w:val="none" w:sz="0" w:space="0" w:color="auto" w:frame="1"/>
          <w:lang w:eastAsia="tr-TR"/>
          <w14:ligatures w14:val="none"/>
        </w:rPr>
        <w:t>ETHS’den</w:t>
      </w:r>
      <w:proofErr w:type="spellEnd"/>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 bedel alınması.</w:t>
      </w:r>
    </w:p>
    <w:p w14:paraId="729C746C"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e) Aracılık sözleşmesinde herhangi bir nesnel ölçüte yer verilmediği hâlde ya da kamu kurumlarına veya adli mercilere başvuruda bulunulduğu gerekçesiyle </w:t>
      </w:r>
      <w:proofErr w:type="spellStart"/>
      <w:r w:rsidRPr="00EB2DC8">
        <w:rPr>
          <w:rFonts w:ascii="Times New Roman" w:eastAsia="Times New Roman" w:hAnsi="Times New Roman" w:cs="Times New Roman"/>
          <w:i/>
          <w:iCs/>
          <w:kern w:val="0"/>
          <w:sz w:val="22"/>
          <w:szCs w:val="22"/>
          <w:bdr w:val="none" w:sz="0" w:space="0" w:color="auto" w:frame="1"/>
          <w:lang w:eastAsia="tr-TR"/>
          <w14:ligatures w14:val="none"/>
        </w:rPr>
        <w:t>ETHS’nin</w:t>
      </w:r>
      <w:proofErr w:type="spellEnd"/>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 sıralama ya da tavsiye sisteminde geriye düşürülmesi, </w:t>
      </w:r>
      <w:proofErr w:type="spellStart"/>
      <w:r w:rsidRPr="00EB2DC8">
        <w:rPr>
          <w:rFonts w:ascii="Times New Roman" w:eastAsia="Times New Roman" w:hAnsi="Times New Roman" w:cs="Times New Roman"/>
          <w:i/>
          <w:iCs/>
          <w:kern w:val="0"/>
          <w:sz w:val="22"/>
          <w:szCs w:val="22"/>
          <w:bdr w:val="none" w:sz="0" w:space="0" w:color="auto" w:frame="1"/>
          <w:lang w:eastAsia="tr-TR"/>
          <w14:ligatures w14:val="none"/>
        </w:rPr>
        <w:t>ETHS’ye</w:t>
      </w:r>
      <w:proofErr w:type="spellEnd"/>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 sunulan hizmetin kısıtlanması, askıya alınması veya sonlandırılması.</w:t>
      </w:r>
    </w:p>
    <w:p w14:paraId="772B4221"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f) </w:t>
      </w:r>
      <w:r w:rsidRPr="00EB2DC8">
        <w:rPr>
          <w:rFonts w:ascii="Times New Roman" w:eastAsia="Times New Roman" w:hAnsi="Times New Roman" w:cs="Times New Roman"/>
          <w:b/>
          <w:bCs/>
          <w:i/>
          <w:iCs/>
          <w:kern w:val="0"/>
          <w:sz w:val="22"/>
          <w:szCs w:val="22"/>
          <w:bdr w:val="none" w:sz="0" w:space="0" w:color="auto" w:frame="1"/>
          <w:lang w:eastAsia="tr-TR"/>
          <w14:ligatures w14:val="none"/>
        </w:rPr>
        <w:t xml:space="preserve">(Değişik:RG-8/3/2025-32835) </w:t>
      </w:r>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Aracılık sözleşmesinde belirtilmeksizin veya ETAHS tarafından </w:t>
      </w:r>
      <w:proofErr w:type="spellStart"/>
      <w:r w:rsidRPr="00EB2DC8">
        <w:rPr>
          <w:rFonts w:ascii="Times New Roman" w:eastAsia="Times New Roman" w:hAnsi="Times New Roman" w:cs="Times New Roman"/>
          <w:i/>
          <w:iCs/>
          <w:kern w:val="0"/>
          <w:sz w:val="22"/>
          <w:szCs w:val="22"/>
          <w:bdr w:val="none" w:sz="0" w:space="0" w:color="auto" w:frame="1"/>
          <w:lang w:eastAsia="tr-TR"/>
          <w14:ligatures w14:val="none"/>
        </w:rPr>
        <w:t>ETHS’nin</w:t>
      </w:r>
      <w:proofErr w:type="spellEnd"/>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 önceden onayı alınmaksızın, 7/11/2013 tarihli ve 6502 sayılı Tüketicinin Korunması Hakkında Kanunda belirtilen sürelerin üzerinde cayma hakkı süreleri belirlenmesi.</w:t>
      </w:r>
    </w:p>
    <w:p w14:paraId="5194D650"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g) ETAHS tarafından </w:t>
      </w:r>
      <w:proofErr w:type="spellStart"/>
      <w:r w:rsidRPr="00EB2DC8">
        <w:rPr>
          <w:rFonts w:ascii="Times New Roman" w:eastAsia="Times New Roman" w:hAnsi="Times New Roman" w:cs="Times New Roman"/>
          <w:i/>
          <w:iCs/>
          <w:kern w:val="0"/>
          <w:sz w:val="22"/>
          <w:szCs w:val="22"/>
          <w:bdr w:val="none" w:sz="0" w:space="0" w:color="auto" w:frame="1"/>
          <w:lang w:eastAsia="tr-TR"/>
          <w14:ligatures w14:val="none"/>
        </w:rPr>
        <w:t>ETHS’lere</w:t>
      </w:r>
      <w:proofErr w:type="spellEnd"/>
      <w:r w:rsidRPr="00EB2DC8">
        <w:rPr>
          <w:rFonts w:ascii="Times New Roman" w:eastAsia="Times New Roman" w:hAnsi="Times New Roman" w:cs="Times New Roman"/>
          <w:i/>
          <w:iCs/>
          <w:kern w:val="0"/>
          <w:sz w:val="22"/>
          <w:szCs w:val="22"/>
          <w:bdr w:val="none" w:sz="0" w:space="0" w:color="auto" w:frame="1"/>
          <w:lang w:eastAsia="tr-TR"/>
          <w14:ligatures w14:val="none"/>
        </w:rPr>
        <w:t>, kendi ürün ve faaliyetleri hakkında gerçek dışı veya yanıltıcı açıklama ve bildirimde bulunulması.</w:t>
      </w:r>
    </w:p>
    <w:p w14:paraId="55EE8B4F"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ğ) </w:t>
      </w:r>
      <w:r w:rsidRPr="00EB2DC8">
        <w:rPr>
          <w:rFonts w:ascii="Times New Roman" w:eastAsia="Times New Roman" w:hAnsi="Times New Roman" w:cs="Times New Roman"/>
          <w:b/>
          <w:bCs/>
          <w:i/>
          <w:iCs/>
          <w:kern w:val="0"/>
          <w:sz w:val="22"/>
          <w:szCs w:val="22"/>
          <w:bdr w:val="none" w:sz="0" w:space="0" w:color="auto" w:frame="1"/>
          <w:lang w:eastAsia="tr-TR"/>
          <w14:ligatures w14:val="none"/>
        </w:rPr>
        <w:t xml:space="preserve">(Ek:RG-8/3/2025-32835) </w:t>
      </w:r>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Aracılık sözleşmesinde belirtilen cezai şartı gerektiren durumun belge ve kayıtlar ile tespit edilebildiği durumlar hariç olmak üzere </w:t>
      </w:r>
      <w:proofErr w:type="spellStart"/>
      <w:r w:rsidRPr="00EB2DC8">
        <w:rPr>
          <w:rFonts w:ascii="Times New Roman" w:eastAsia="Times New Roman" w:hAnsi="Times New Roman" w:cs="Times New Roman"/>
          <w:i/>
          <w:iCs/>
          <w:kern w:val="0"/>
          <w:sz w:val="22"/>
          <w:szCs w:val="22"/>
          <w:bdr w:val="none" w:sz="0" w:space="0" w:color="auto" w:frame="1"/>
          <w:lang w:eastAsia="tr-TR"/>
          <w14:ligatures w14:val="none"/>
        </w:rPr>
        <w:t>ETAHS’nin</w:t>
      </w:r>
      <w:proofErr w:type="spellEnd"/>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 dâhili iletişim sistemi üzerinden </w:t>
      </w:r>
      <w:proofErr w:type="spellStart"/>
      <w:r w:rsidRPr="00EB2DC8">
        <w:rPr>
          <w:rFonts w:ascii="Times New Roman" w:eastAsia="Times New Roman" w:hAnsi="Times New Roman" w:cs="Times New Roman"/>
          <w:i/>
          <w:iCs/>
          <w:kern w:val="0"/>
          <w:sz w:val="22"/>
          <w:szCs w:val="22"/>
          <w:bdr w:val="none" w:sz="0" w:space="0" w:color="auto" w:frame="1"/>
          <w:lang w:eastAsia="tr-TR"/>
          <w14:ligatures w14:val="none"/>
        </w:rPr>
        <w:t>ETHS’den</w:t>
      </w:r>
      <w:proofErr w:type="spellEnd"/>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 açıklama talep etmeden cezai şart uygulaması.</w:t>
      </w:r>
    </w:p>
    <w:p w14:paraId="3B634425"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(3) İkinci fıkranın (a) bendinin uygulanmasında, </w:t>
      </w:r>
      <w:proofErr w:type="spellStart"/>
      <w:r w:rsidRPr="00EB2DC8">
        <w:rPr>
          <w:rFonts w:ascii="Times New Roman" w:eastAsia="Times New Roman" w:hAnsi="Times New Roman" w:cs="Times New Roman"/>
          <w:i/>
          <w:iCs/>
          <w:kern w:val="0"/>
          <w:sz w:val="22"/>
          <w:szCs w:val="22"/>
          <w:bdr w:val="none" w:sz="0" w:space="0" w:color="auto" w:frame="1"/>
          <w:lang w:eastAsia="tr-TR"/>
          <w14:ligatures w14:val="none"/>
        </w:rPr>
        <w:t>ETAHS’nin</w:t>
      </w:r>
      <w:proofErr w:type="spellEnd"/>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 ekonomik bütünlük içinde bulunduğu ödeme hizmeti sağlayıcısına yapılan ödemeler </w:t>
      </w:r>
      <w:proofErr w:type="spellStart"/>
      <w:r w:rsidRPr="00EB2DC8">
        <w:rPr>
          <w:rFonts w:ascii="Times New Roman" w:eastAsia="Times New Roman" w:hAnsi="Times New Roman" w:cs="Times New Roman"/>
          <w:i/>
          <w:iCs/>
          <w:kern w:val="0"/>
          <w:sz w:val="22"/>
          <w:szCs w:val="22"/>
          <w:bdr w:val="none" w:sz="0" w:space="0" w:color="auto" w:frame="1"/>
          <w:lang w:eastAsia="tr-TR"/>
          <w14:ligatures w14:val="none"/>
        </w:rPr>
        <w:t>ETAHS’ye</w:t>
      </w:r>
      <w:proofErr w:type="spellEnd"/>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 yapılmış kabul edilir.</w:t>
      </w:r>
    </w:p>
    <w:p w14:paraId="6A3A0F3D"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i/>
          <w:iCs/>
          <w:kern w:val="0"/>
          <w:sz w:val="22"/>
          <w:szCs w:val="22"/>
          <w:bdr w:val="none" w:sz="0" w:space="0" w:color="auto" w:frame="1"/>
          <w:lang w:eastAsia="tr-TR"/>
          <w14:ligatures w14:val="none"/>
        </w:rPr>
        <w:t>(4) İkinci fıkranın (a) bendinin uygulanmasında;</w:t>
      </w:r>
    </w:p>
    <w:p w14:paraId="50678228"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a) </w:t>
      </w:r>
      <w:proofErr w:type="spellStart"/>
      <w:r w:rsidRPr="00EB2DC8">
        <w:rPr>
          <w:rFonts w:ascii="Times New Roman" w:eastAsia="Times New Roman" w:hAnsi="Times New Roman" w:cs="Times New Roman"/>
          <w:i/>
          <w:iCs/>
          <w:kern w:val="0"/>
          <w:sz w:val="22"/>
          <w:szCs w:val="22"/>
          <w:bdr w:val="none" w:sz="0" w:space="0" w:color="auto" w:frame="1"/>
          <w:lang w:eastAsia="tr-TR"/>
          <w14:ligatures w14:val="none"/>
        </w:rPr>
        <w:t>ETAHS’nin</w:t>
      </w:r>
      <w:proofErr w:type="spellEnd"/>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 aracılık hizmetinden kaynaklanan muaccel alacaklarını ya da adli veya idari merci kararlarına istinaden ETHS adına yaptığı ödeme tutarlarını mahsup ederek </w:t>
      </w:r>
      <w:proofErr w:type="spellStart"/>
      <w:r w:rsidRPr="00EB2DC8">
        <w:rPr>
          <w:rFonts w:ascii="Times New Roman" w:eastAsia="Times New Roman" w:hAnsi="Times New Roman" w:cs="Times New Roman"/>
          <w:i/>
          <w:iCs/>
          <w:kern w:val="0"/>
          <w:sz w:val="22"/>
          <w:szCs w:val="22"/>
          <w:bdr w:val="none" w:sz="0" w:space="0" w:color="auto" w:frame="1"/>
          <w:lang w:eastAsia="tr-TR"/>
          <w14:ligatures w14:val="none"/>
        </w:rPr>
        <w:t>ETHS’ye</w:t>
      </w:r>
      <w:proofErr w:type="spellEnd"/>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 ödeme yapması durumunda ürün satış bedelinin tamamının ödendiği,</w:t>
      </w:r>
    </w:p>
    <w:p w14:paraId="2DF9210F"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i/>
          <w:iCs/>
          <w:kern w:val="0"/>
          <w:sz w:val="22"/>
          <w:szCs w:val="22"/>
          <w:bdr w:val="none" w:sz="0" w:space="0" w:color="auto" w:frame="1"/>
          <w:lang w:eastAsia="tr-TR"/>
          <w14:ligatures w14:val="none"/>
        </w:rPr>
        <w:t>b) Taksitli satışlarda yalnızca vadesi gelen taksitin ödenmesi durumunda ilgili taksit tutarının eksiksiz ödendiği,</w:t>
      </w:r>
    </w:p>
    <w:p w14:paraId="4975FED6"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c) </w:t>
      </w:r>
      <w:proofErr w:type="spellStart"/>
      <w:r w:rsidRPr="00EB2DC8">
        <w:rPr>
          <w:rFonts w:ascii="Times New Roman" w:eastAsia="Times New Roman" w:hAnsi="Times New Roman" w:cs="Times New Roman"/>
          <w:i/>
          <w:iCs/>
          <w:kern w:val="0"/>
          <w:sz w:val="22"/>
          <w:szCs w:val="22"/>
          <w:bdr w:val="none" w:sz="0" w:space="0" w:color="auto" w:frame="1"/>
          <w:lang w:eastAsia="tr-TR"/>
          <w14:ligatures w14:val="none"/>
        </w:rPr>
        <w:t>ETAHS’nin</w:t>
      </w:r>
      <w:proofErr w:type="spellEnd"/>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 ödeme hizmeti sağlayıcısıyla yaptığı üye iş yeri anlaşmasındaki bloke süresinden önce ürün satış bedelini maliyetini üstlenmek suretiyle serbest kullanımına alması durumunda bu bedelin anlaşmadaki bloke süresinin sonunda, üye iş yeri anlaşmasıyla bloke süresi belirlenmemiş olması durumunda ise serbest kullanımına geçtiği gün </w:t>
      </w:r>
      <w:proofErr w:type="spellStart"/>
      <w:r w:rsidRPr="00EB2DC8">
        <w:rPr>
          <w:rFonts w:ascii="Times New Roman" w:eastAsia="Times New Roman" w:hAnsi="Times New Roman" w:cs="Times New Roman"/>
          <w:i/>
          <w:iCs/>
          <w:kern w:val="0"/>
          <w:sz w:val="22"/>
          <w:szCs w:val="22"/>
          <w:bdr w:val="none" w:sz="0" w:space="0" w:color="auto" w:frame="1"/>
          <w:lang w:eastAsia="tr-TR"/>
          <w14:ligatures w14:val="none"/>
        </w:rPr>
        <w:t>ETAHS’nin</w:t>
      </w:r>
      <w:proofErr w:type="spellEnd"/>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 tasarrufuna girdiği,</w:t>
      </w:r>
    </w:p>
    <w:p w14:paraId="4EBE2F08"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i/>
          <w:iCs/>
          <w:kern w:val="0"/>
          <w:sz w:val="22"/>
          <w:szCs w:val="22"/>
          <w:bdr w:val="none" w:sz="0" w:space="0" w:color="auto" w:frame="1"/>
          <w:lang w:eastAsia="tr-TR"/>
          <w14:ligatures w14:val="none"/>
        </w:rPr>
        <w:t>kabul edilir.</w:t>
      </w:r>
    </w:p>
    <w:p w14:paraId="711F3732"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i/>
          <w:iCs/>
          <w:kern w:val="0"/>
          <w:sz w:val="22"/>
          <w:szCs w:val="22"/>
          <w:bdr w:val="none" w:sz="0" w:space="0" w:color="auto" w:frame="1"/>
          <w:lang w:eastAsia="tr-TR"/>
          <w14:ligatures w14:val="none"/>
        </w:rPr>
        <w:lastRenderedPageBreak/>
        <w:t xml:space="preserve">(5) </w:t>
      </w:r>
      <w:proofErr w:type="spellStart"/>
      <w:r w:rsidRPr="00EB2DC8">
        <w:rPr>
          <w:rFonts w:ascii="Times New Roman" w:eastAsia="Times New Roman" w:hAnsi="Times New Roman" w:cs="Times New Roman"/>
          <w:i/>
          <w:iCs/>
          <w:kern w:val="0"/>
          <w:sz w:val="22"/>
          <w:szCs w:val="22"/>
          <w:bdr w:val="none" w:sz="0" w:space="0" w:color="auto" w:frame="1"/>
          <w:lang w:eastAsia="tr-TR"/>
          <w14:ligatures w14:val="none"/>
        </w:rPr>
        <w:t>ETAHS’nin</w:t>
      </w:r>
      <w:proofErr w:type="spellEnd"/>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 hukuka aykırı faaliyetlerin önlenmesi ve mevzuattan kaynaklanan yükümlülüklerin yerine getirilmesi gibi amaçlarla </w:t>
      </w:r>
      <w:proofErr w:type="spellStart"/>
      <w:r w:rsidRPr="00EB2DC8">
        <w:rPr>
          <w:rFonts w:ascii="Times New Roman" w:eastAsia="Times New Roman" w:hAnsi="Times New Roman" w:cs="Times New Roman"/>
          <w:i/>
          <w:iCs/>
          <w:kern w:val="0"/>
          <w:sz w:val="22"/>
          <w:szCs w:val="22"/>
          <w:bdr w:val="none" w:sz="0" w:space="0" w:color="auto" w:frame="1"/>
          <w:lang w:eastAsia="tr-TR"/>
          <w14:ligatures w14:val="none"/>
        </w:rPr>
        <w:t>ETHS’ye</w:t>
      </w:r>
      <w:proofErr w:type="spellEnd"/>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 yapacağı ödemeleri ertelemesi veya askıya alması durumunda ikinci fıkranın (a) bendi uygulanmaz.</w:t>
      </w:r>
    </w:p>
    <w:p w14:paraId="55956B94"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(6) Büyük ve çok büyük ölçekli ETAHS, </w:t>
      </w:r>
      <w:proofErr w:type="spellStart"/>
      <w:r w:rsidRPr="00EB2DC8">
        <w:rPr>
          <w:rFonts w:ascii="Times New Roman" w:eastAsia="Times New Roman" w:hAnsi="Times New Roman" w:cs="Times New Roman"/>
          <w:i/>
          <w:iCs/>
          <w:kern w:val="0"/>
          <w:sz w:val="22"/>
          <w:szCs w:val="22"/>
          <w:bdr w:val="none" w:sz="0" w:space="0" w:color="auto" w:frame="1"/>
          <w:lang w:eastAsia="tr-TR"/>
          <w14:ligatures w14:val="none"/>
        </w:rPr>
        <w:t>ETHS’nin</w:t>
      </w:r>
      <w:proofErr w:type="spellEnd"/>
      <w:r w:rsidRPr="00EB2DC8">
        <w:rPr>
          <w:rFonts w:ascii="Times New Roman" w:eastAsia="Times New Roman" w:hAnsi="Times New Roman" w:cs="Times New Roman"/>
          <w:i/>
          <w:iCs/>
          <w:kern w:val="0"/>
          <w:sz w:val="22"/>
          <w:szCs w:val="22"/>
          <w:bdr w:val="none" w:sz="0" w:space="0" w:color="auto" w:frame="1"/>
          <w:lang w:eastAsia="tr-TR"/>
          <w14:ligatures w14:val="none"/>
        </w:rPr>
        <w:t xml:space="preserve"> ticari ilişkilerini, alternatif kanallardan aynı ya da farklı fiyattan mal veya hizmet sunmasını ya da reklam yapmasını kısıtlayamaz, herhangi bir kişiden mal veya hizmet teminine zorlayamaz. Buna imkân sağlayan herhangi bir hükme aracılık sözleşmesinde yer veremez.”</w:t>
      </w:r>
    </w:p>
    <w:p w14:paraId="604CF4B1"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Diğer taraftan Reklam Yönetmeliği’nin 28. maddesinde, haksız ticari uygulama, ortalama bir tüketicinin ekonomik davranış biçimini önemli ölçüde bozacak veya bozma ihtimali bulunan, mesleki özen gerekliliklerine aykırı davranış olarak tanımlanmıştır.</w:t>
      </w:r>
    </w:p>
    <w:p w14:paraId="035401AC"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Dolayısıyla elektronik ortamda gerçekleştirilen her türlü ticari faaliyet, tüketici nezdinde yönlendirici veya yanıltıcı nitelik taşıyorsa, bu faaliyet “haksız ticari uygulama” olarak nitelendirilebilecektir.</w:t>
      </w:r>
    </w:p>
    <w:p w14:paraId="48D0CF04"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b/>
          <w:bCs/>
          <w:kern w:val="0"/>
          <w:sz w:val="22"/>
          <w:szCs w:val="22"/>
          <w:bdr w:val="none" w:sz="0" w:space="0" w:color="auto" w:frame="1"/>
          <w:lang w:eastAsia="tr-TR"/>
          <w14:ligatures w14:val="none"/>
        </w:rPr>
        <w:t>B- Unsurlar</w:t>
      </w:r>
    </w:p>
    <w:p w14:paraId="0DA2BAC1"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Bir eylemin haksız ticari uygulama olarak değerlendirilebilmesi için üç temel unsurun bir arada bulunması gerekir:</w:t>
      </w:r>
    </w:p>
    <w:p w14:paraId="36E3309E"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b/>
          <w:bCs/>
          <w:kern w:val="0"/>
          <w:sz w:val="22"/>
          <w:szCs w:val="22"/>
          <w:bdr w:val="none" w:sz="0" w:space="0" w:color="auto" w:frame="1"/>
          <w:lang w:eastAsia="tr-TR"/>
          <w14:ligatures w14:val="none"/>
        </w:rPr>
        <w:t>Ticari Amaç:</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kern w:val="0"/>
          <w:sz w:val="22"/>
          <w:szCs w:val="22"/>
          <w:lang w:eastAsia="tr-TR"/>
          <w14:ligatures w14:val="none"/>
        </w:rPr>
        <w:t>Eylemin ticari veya mesleki amaçla yapılması,</w:t>
      </w:r>
    </w:p>
    <w:p w14:paraId="44CCE135"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b/>
          <w:bCs/>
          <w:kern w:val="0"/>
          <w:sz w:val="22"/>
          <w:szCs w:val="22"/>
          <w:bdr w:val="none" w:sz="0" w:space="0" w:color="auto" w:frame="1"/>
          <w:lang w:eastAsia="tr-TR"/>
          <w14:ligatures w14:val="none"/>
        </w:rPr>
        <w:t>Ortalama Tüketici Üzerinde Etki:</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kern w:val="0"/>
          <w:sz w:val="22"/>
          <w:szCs w:val="22"/>
          <w:lang w:eastAsia="tr-TR"/>
          <w14:ligatures w14:val="none"/>
        </w:rPr>
        <w:t>Eylemin, makul bilgi ve dikkat düzeyine sahip ortalama bir tüketicinin ekonomik kararını etkileyecek nitelikte olması,-</w:t>
      </w:r>
    </w:p>
    <w:p w14:paraId="02E896DC"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b/>
          <w:bCs/>
          <w:kern w:val="0"/>
          <w:sz w:val="22"/>
          <w:szCs w:val="22"/>
          <w:bdr w:val="none" w:sz="0" w:space="0" w:color="auto" w:frame="1"/>
          <w:lang w:eastAsia="tr-TR"/>
          <w14:ligatures w14:val="none"/>
        </w:rPr>
        <w:t>Mesleki Özen Eksikliği:</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kern w:val="0"/>
          <w:sz w:val="22"/>
          <w:szCs w:val="22"/>
          <w:lang w:eastAsia="tr-TR"/>
          <w14:ligatures w14:val="none"/>
        </w:rPr>
        <w:t>Davranışın dürüstlük, sadakat ve özen yükümlülüğüne aykırı biçimde gerçekleştirilmesi.</w:t>
      </w:r>
    </w:p>
    <w:p w14:paraId="2FF018EA"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Bu unsurlar, Avrupa Birliği’nin 2005/29/EC sayılı “</w:t>
      </w:r>
      <w:proofErr w:type="spellStart"/>
      <w:r w:rsidRPr="00EB2DC8">
        <w:rPr>
          <w:rFonts w:ascii="Times New Roman" w:eastAsia="Times New Roman" w:hAnsi="Times New Roman" w:cs="Times New Roman"/>
          <w:kern w:val="0"/>
          <w:sz w:val="22"/>
          <w:szCs w:val="22"/>
          <w:lang w:eastAsia="tr-TR"/>
          <w14:ligatures w14:val="none"/>
        </w:rPr>
        <w:t>Unfair</w:t>
      </w:r>
      <w:proofErr w:type="spellEnd"/>
      <w:r w:rsidRPr="00EB2DC8">
        <w:rPr>
          <w:rFonts w:ascii="Times New Roman" w:eastAsia="Times New Roman" w:hAnsi="Times New Roman" w:cs="Times New Roman"/>
          <w:kern w:val="0"/>
          <w:sz w:val="22"/>
          <w:szCs w:val="22"/>
          <w:lang w:eastAsia="tr-TR"/>
          <w14:ligatures w14:val="none"/>
        </w:rPr>
        <w:t xml:space="preserve"> Commercial </w:t>
      </w:r>
      <w:proofErr w:type="spellStart"/>
      <w:r w:rsidRPr="00EB2DC8">
        <w:rPr>
          <w:rFonts w:ascii="Times New Roman" w:eastAsia="Times New Roman" w:hAnsi="Times New Roman" w:cs="Times New Roman"/>
          <w:kern w:val="0"/>
          <w:sz w:val="22"/>
          <w:szCs w:val="22"/>
          <w:lang w:eastAsia="tr-TR"/>
          <w14:ligatures w14:val="none"/>
        </w:rPr>
        <w:t>Practices</w:t>
      </w:r>
      <w:proofErr w:type="spellEnd"/>
      <w:r w:rsidRPr="00EB2DC8">
        <w:rPr>
          <w:rFonts w:ascii="Times New Roman" w:eastAsia="Times New Roman" w:hAnsi="Times New Roman" w:cs="Times New Roman"/>
          <w:kern w:val="0"/>
          <w:sz w:val="22"/>
          <w:szCs w:val="22"/>
          <w:lang w:eastAsia="tr-TR"/>
          <w14:ligatures w14:val="none"/>
        </w:rPr>
        <w:t xml:space="preserve"> </w:t>
      </w:r>
      <w:proofErr w:type="spellStart"/>
      <w:r w:rsidRPr="00EB2DC8">
        <w:rPr>
          <w:rFonts w:ascii="Times New Roman" w:eastAsia="Times New Roman" w:hAnsi="Times New Roman" w:cs="Times New Roman"/>
          <w:kern w:val="0"/>
          <w:sz w:val="22"/>
          <w:szCs w:val="22"/>
          <w:lang w:eastAsia="tr-TR"/>
          <w14:ligatures w14:val="none"/>
        </w:rPr>
        <w:t>Directive”iyle</w:t>
      </w:r>
      <w:proofErr w:type="spellEnd"/>
      <w:r w:rsidRPr="00EB2DC8">
        <w:rPr>
          <w:rFonts w:ascii="Times New Roman" w:eastAsia="Times New Roman" w:hAnsi="Times New Roman" w:cs="Times New Roman"/>
          <w:kern w:val="0"/>
          <w:sz w:val="22"/>
          <w:szCs w:val="22"/>
          <w:lang w:eastAsia="tr-TR"/>
          <w14:ligatures w14:val="none"/>
        </w:rPr>
        <w:t xml:space="preserve"> paralel şekilde Türk mevzuatına aktarılmıştır.</w:t>
      </w:r>
    </w:p>
    <w:p w14:paraId="28F89C2F" w14:textId="77777777" w:rsidR="00EB2DC8" w:rsidRPr="00EB2DC8" w:rsidRDefault="00EB2DC8" w:rsidP="00EB2DC8">
      <w:pPr>
        <w:spacing w:after="240" w:line="240" w:lineRule="auto"/>
        <w:jc w:val="both"/>
        <w:textAlignment w:val="baseline"/>
        <w:outlineLvl w:val="2"/>
        <w:rPr>
          <w:rFonts w:ascii="Times New Roman" w:eastAsia="Times New Roman" w:hAnsi="Times New Roman" w:cs="Times New Roman"/>
          <w:b/>
          <w:bCs/>
          <w:kern w:val="0"/>
          <w:sz w:val="22"/>
          <w:szCs w:val="22"/>
          <w:lang w:eastAsia="tr-TR"/>
          <w14:ligatures w14:val="none"/>
        </w:rPr>
      </w:pPr>
      <w:r w:rsidRPr="00EB2DC8">
        <w:rPr>
          <w:rFonts w:ascii="Times New Roman" w:eastAsia="Times New Roman" w:hAnsi="Times New Roman" w:cs="Times New Roman"/>
          <w:b/>
          <w:bCs/>
          <w:kern w:val="0"/>
          <w:sz w:val="22"/>
          <w:szCs w:val="22"/>
          <w:lang w:eastAsia="tr-TR"/>
          <w14:ligatures w14:val="none"/>
        </w:rPr>
        <w:t>2- E-Ticarette Haksız Ticari Uygulama Türleri</w:t>
      </w:r>
    </w:p>
    <w:p w14:paraId="648C7304"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b/>
          <w:bCs/>
          <w:kern w:val="0"/>
          <w:sz w:val="22"/>
          <w:szCs w:val="22"/>
          <w:bdr w:val="none" w:sz="0" w:space="0" w:color="auto" w:frame="1"/>
          <w:lang w:eastAsia="tr-TR"/>
          <w14:ligatures w14:val="none"/>
        </w:rPr>
        <w:t>A- Tüketiciye Yönelik Uygulamalar</w:t>
      </w:r>
    </w:p>
    <w:p w14:paraId="7B254647"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E-ticaret faaliyetlerinde en sık karşılaşılan haksız uygulama türleri şunlardır:</w:t>
      </w:r>
    </w:p>
    <w:p w14:paraId="60060C39"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b/>
          <w:bCs/>
          <w:kern w:val="0"/>
          <w:sz w:val="22"/>
          <w:szCs w:val="22"/>
          <w:bdr w:val="none" w:sz="0" w:space="0" w:color="auto" w:frame="1"/>
          <w:lang w:eastAsia="tr-TR"/>
          <w14:ligatures w14:val="none"/>
        </w:rPr>
        <w:t>Yanıltıcı Bilgilendirme:</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kern w:val="0"/>
          <w:sz w:val="22"/>
          <w:szCs w:val="22"/>
          <w:lang w:eastAsia="tr-TR"/>
          <w14:ligatures w14:val="none"/>
        </w:rPr>
        <w:t>Ürünün fiyatı, indirim oranı, teslimat süresi veya temel özelliklerine ilişkin olarak gerçeğe aykırı veya eksik bilgi sunulması (Reklam Yön. m.29).</w:t>
      </w:r>
    </w:p>
    <w:p w14:paraId="630FDF6A"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b/>
          <w:bCs/>
          <w:kern w:val="0"/>
          <w:sz w:val="22"/>
          <w:szCs w:val="22"/>
          <w:bdr w:val="none" w:sz="0" w:space="0" w:color="auto" w:frame="1"/>
          <w:lang w:eastAsia="tr-TR"/>
          <w14:ligatures w14:val="none"/>
        </w:rPr>
        <w:t>Aldatıcı İhmal:</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kern w:val="0"/>
          <w:sz w:val="22"/>
          <w:szCs w:val="22"/>
          <w:lang w:eastAsia="tr-TR"/>
          <w14:ligatures w14:val="none"/>
        </w:rPr>
        <w:t>Tüketicinin ekonomik kararını etkileyebilecek bilginin saklanması, örneğin “önceki fiyat” gösterilmeden indirim yapılmış izlenimi verilmesi (m.30).</w:t>
      </w:r>
    </w:p>
    <w:p w14:paraId="72FAD73F"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b/>
          <w:bCs/>
          <w:kern w:val="0"/>
          <w:sz w:val="22"/>
          <w:szCs w:val="22"/>
          <w:bdr w:val="none" w:sz="0" w:space="0" w:color="auto" w:frame="1"/>
          <w:lang w:eastAsia="tr-TR"/>
          <w14:ligatures w14:val="none"/>
        </w:rPr>
        <w:t>Saldırgan Uygulamalar:</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kern w:val="0"/>
          <w:sz w:val="22"/>
          <w:szCs w:val="22"/>
          <w:lang w:eastAsia="tr-TR"/>
          <w14:ligatures w14:val="none"/>
        </w:rPr>
        <w:t>Tüketici üzerinde baskı, korku veya psikolojik zorlama yaratacak davranışlar (m.31).</w:t>
      </w:r>
    </w:p>
    <w:p w14:paraId="1C2081C0"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b/>
          <w:bCs/>
          <w:kern w:val="0"/>
          <w:sz w:val="22"/>
          <w:szCs w:val="22"/>
          <w:bdr w:val="none" w:sz="0" w:space="0" w:color="auto" w:frame="1"/>
          <w:lang w:eastAsia="tr-TR"/>
          <w14:ligatures w14:val="none"/>
        </w:rPr>
        <w:t>Cayma Hakkının Kısıtlanması:</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kern w:val="0"/>
          <w:sz w:val="22"/>
          <w:szCs w:val="22"/>
          <w:lang w:eastAsia="tr-TR"/>
          <w14:ligatures w14:val="none"/>
        </w:rPr>
        <w:t>6502 sayılı Tüketicinin Korunması Hakkında Kanun’un 9. ve 12. maddelerinde tanınan hakların sistemsel engellerle kullanılamaz hale getirilmesi.</w:t>
      </w:r>
    </w:p>
    <w:p w14:paraId="261E71F3"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b/>
          <w:bCs/>
          <w:kern w:val="0"/>
          <w:sz w:val="22"/>
          <w:szCs w:val="22"/>
          <w:bdr w:val="none" w:sz="0" w:space="0" w:color="auto" w:frame="1"/>
          <w:lang w:eastAsia="tr-TR"/>
          <w14:ligatures w14:val="none"/>
        </w:rPr>
        <w:t>B- Satıcı veya Hizmet Sağlayıcıya Yönelik Uygulamalar</w:t>
      </w:r>
    </w:p>
    <w:p w14:paraId="790650E3"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xml:space="preserve">E-Ticaret Yönetmeliği’nin 11. maddesi, özellikle büyük ölçekli </w:t>
      </w:r>
      <w:proofErr w:type="spellStart"/>
      <w:r w:rsidRPr="00EB2DC8">
        <w:rPr>
          <w:rFonts w:ascii="Times New Roman" w:eastAsia="Times New Roman" w:hAnsi="Times New Roman" w:cs="Times New Roman"/>
          <w:kern w:val="0"/>
          <w:sz w:val="22"/>
          <w:szCs w:val="22"/>
          <w:lang w:eastAsia="tr-TR"/>
          <w14:ligatures w14:val="none"/>
        </w:rPr>
        <w:t>ETAHS’lerin</w:t>
      </w:r>
      <w:proofErr w:type="spellEnd"/>
      <w:r w:rsidRPr="00EB2DC8">
        <w:rPr>
          <w:rFonts w:ascii="Times New Roman" w:eastAsia="Times New Roman" w:hAnsi="Times New Roman" w:cs="Times New Roman"/>
          <w:kern w:val="0"/>
          <w:sz w:val="22"/>
          <w:szCs w:val="22"/>
          <w:lang w:eastAsia="tr-TR"/>
          <w14:ligatures w14:val="none"/>
        </w:rPr>
        <w:t xml:space="preserve"> satıcılara karşı uygulayabileceği haksız davranışları sınırlamıştır. Bunlar arasında:</w:t>
      </w:r>
    </w:p>
    <w:p w14:paraId="025A1DF6"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b/>
          <w:bCs/>
          <w:kern w:val="0"/>
          <w:sz w:val="22"/>
          <w:szCs w:val="22"/>
          <w:bdr w:val="none" w:sz="0" w:space="0" w:color="auto" w:frame="1"/>
          <w:lang w:eastAsia="tr-TR"/>
          <w14:ligatures w14:val="none"/>
        </w:rPr>
        <w:t>Yönetmelik m.11/2’de yer alan haksız ticari uygulama hallerinden başlıcaları şunlardır:</w:t>
      </w:r>
    </w:p>
    <w:p w14:paraId="563C25D5"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xml:space="preserve">- Mal veya hizmet satışı karşılığında </w:t>
      </w:r>
      <w:proofErr w:type="spellStart"/>
      <w:r w:rsidRPr="00EB2DC8">
        <w:rPr>
          <w:rFonts w:ascii="Times New Roman" w:eastAsia="Times New Roman" w:hAnsi="Times New Roman" w:cs="Times New Roman"/>
          <w:kern w:val="0"/>
          <w:sz w:val="22"/>
          <w:szCs w:val="22"/>
          <w:lang w:eastAsia="tr-TR"/>
          <w14:ligatures w14:val="none"/>
        </w:rPr>
        <w:t>ETHS’ye</w:t>
      </w:r>
      <w:proofErr w:type="spellEnd"/>
      <w:r w:rsidRPr="00EB2DC8">
        <w:rPr>
          <w:rFonts w:ascii="Times New Roman" w:eastAsia="Times New Roman" w:hAnsi="Times New Roman" w:cs="Times New Roman"/>
          <w:kern w:val="0"/>
          <w:sz w:val="22"/>
          <w:szCs w:val="22"/>
          <w:lang w:eastAsia="tr-TR"/>
          <w14:ligatures w14:val="none"/>
        </w:rPr>
        <w:t xml:space="preserve"> yapılması gereken ödemenin, </w:t>
      </w:r>
      <w:proofErr w:type="spellStart"/>
      <w:r w:rsidRPr="00EB2DC8">
        <w:rPr>
          <w:rFonts w:ascii="Times New Roman" w:eastAsia="Times New Roman" w:hAnsi="Times New Roman" w:cs="Times New Roman"/>
          <w:kern w:val="0"/>
          <w:sz w:val="22"/>
          <w:szCs w:val="22"/>
          <w:lang w:eastAsia="tr-TR"/>
          <w14:ligatures w14:val="none"/>
        </w:rPr>
        <w:t>ETAHS’nin</w:t>
      </w:r>
      <w:proofErr w:type="spellEnd"/>
      <w:r w:rsidRPr="00EB2DC8">
        <w:rPr>
          <w:rFonts w:ascii="Times New Roman" w:eastAsia="Times New Roman" w:hAnsi="Times New Roman" w:cs="Times New Roman"/>
          <w:kern w:val="0"/>
          <w:sz w:val="22"/>
          <w:szCs w:val="22"/>
          <w:lang w:eastAsia="tr-TR"/>
          <w14:ligatures w14:val="none"/>
        </w:rPr>
        <w:t xml:space="preserve"> tasarrufuna geçtikten ve siparişin alıcıya ulaştığı tarihten itibaren 5 iş günü içinde tamamlanmaması.</w:t>
      </w:r>
    </w:p>
    <w:p w14:paraId="5C843073"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w:t>
      </w:r>
      <w:proofErr w:type="spellStart"/>
      <w:r w:rsidRPr="00EB2DC8">
        <w:rPr>
          <w:rFonts w:ascii="Times New Roman" w:eastAsia="Times New Roman" w:hAnsi="Times New Roman" w:cs="Times New Roman"/>
          <w:kern w:val="0"/>
          <w:sz w:val="22"/>
          <w:szCs w:val="22"/>
          <w:lang w:eastAsia="tr-TR"/>
          <w14:ligatures w14:val="none"/>
        </w:rPr>
        <w:t>ETAHS’nin</w:t>
      </w:r>
      <w:proofErr w:type="spellEnd"/>
      <w:r w:rsidRPr="00EB2DC8">
        <w:rPr>
          <w:rFonts w:ascii="Times New Roman" w:eastAsia="Times New Roman" w:hAnsi="Times New Roman" w:cs="Times New Roman"/>
          <w:kern w:val="0"/>
          <w:sz w:val="22"/>
          <w:szCs w:val="22"/>
          <w:lang w:eastAsia="tr-TR"/>
          <w14:ligatures w14:val="none"/>
        </w:rPr>
        <w:t xml:space="preserve">, </w:t>
      </w:r>
      <w:proofErr w:type="spellStart"/>
      <w:r w:rsidRPr="00EB2DC8">
        <w:rPr>
          <w:rFonts w:ascii="Times New Roman" w:eastAsia="Times New Roman" w:hAnsi="Times New Roman" w:cs="Times New Roman"/>
          <w:kern w:val="0"/>
          <w:sz w:val="22"/>
          <w:szCs w:val="22"/>
          <w:lang w:eastAsia="tr-TR"/>
          <w14:ligatures w14:val="none"/>
        </w:rPr>
        <w:t>ETHS’yi</w:t>
      </w:r>
      <w:proofErr w:type="spellEnd"/>
      <w:r w:rsidRPr="00EB2DC8">
        <w:rPr>
          <w:rFonts w:ascii="Times New Roman" w:eastAsia="Times New Roman" w:hAnsi="Times New Roman" w:cs="Times New Roman"/>
          <w:kern w:val="0"/>
          <w:sz w:val="22"/>
          <w:szCs w:val="22"/>
          <w:lang w:eastAsia="tr-TR"/>
          <w14:ligatures w14:val="none"/>
        </w:rPr>
        <w:t xml:space="preserve"> kampanyalı satışa zorlaması ya da satış fiyatında tek taraflı değişiklik yapması.</w:t>
      </w:r>
    </w:p>
    <w:p w14:paraId="564394FA"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lastRenderedPageBreak/>
        <w:t>- ETHS ile aracılık sözleşmesinin yazılı veya elektronik ortamda yapılmaması; sözleşmenin açık, anlaşılır ve erişilebilir olmaması ya da sözleşmenin sonradan ETHS tarafından erişilemeyecek biçimde saklanması.</w:t>
      </w:r>
    </w:p>
    <w:p w14:paraId="79B7158E"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Geçmişe etkili ya da tek taraflı değişikliğe imkân veren bir hüküm içeren aracılık sözleşmesi kullanılması.</w:t>
      </w:r>
    </w:p>
    <w:p w14:paraId="7FC2E783"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xml:space="preserve">- Aracılık sözleşmesinde hangi hizmetin verileceği, hizmetin bedeli veya türü açıkça belirtilmeden </w:t>
      </w:r>
      <w:proofErr w:type="spellStart"/>
      <w:r w:rsidRPr="00EB2DC8">
        <w:rPr>
          <w:rFonts w:ascii="Times New Roman" w:eastAsia="Times New Roman" w:hAnsi="Times New Roman" w:cs="Times New Roman"/>
          <w:kern w:val="0"/>
          <w:sz w:val="22"/>
          <w:szCs w:val="22"/>
          <w:lang w:eastAsia="tr-TR"/>
          <w14:ligatures w14:val="none"/>
        </w:rPr>
        <w:t>ETHS’den</w:t>
      </w:r>
      <w:proofErr w:type="spellEnd"/>
      <w:r w:rsidRPr="00EB2DC8">
        <w:rPr>
          <w:rFonts w:ascii="Times New Roman" w:eastAsia="Times New Roman" w:hAnsi="Times New Roman" w:cs="Times New Roman"/>
          <w:kern w:val="0"/>
          <w:sz w:val="22"/>
          <w:szCs w:val="22"/>
          <w:lang w:eastAsia="tr-TR"/>
          <w14:ligatures w14:val="none"/>
        </w:rPr>
        <w:t xml:space="preserve"> bedel alınması.</w:t>
      </w:r>
    </w:p>
    <w:p w14:paraId="73388166"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xml:space="preserve">- Aracılık sözleşmesinde nesnel ölçüt yer almadan </w:t>
      </w:r>
      <w:proofErr w:type="spellStart"/>
      <w:r w:rsidRPr="00EB2DC8">
        <w:rPr>
          <w:rFonts w:ascii="Times New Roman" w:eastAsia="Times New Roman" w:hAnsi="Times New Roman" w:cs="Times New Roman"/>
          <w:kern w:val="0"/>
          <w:sz w:val="22"/>
          <w:szCs w:val="22"/>
          <w:lang w:eastAsia="tr-TR"/>
          <w14:ligatures w14:val="none"/>
        </w:rPr>
        <w:t>ETHS’nin</w:t>
      </w:r>
      <w:proofErr w:type="spellEnd"/>
      <w:r w:rsidRPr="00EB2DC8">
        <w:rPr>
          <w:rFonts w:ascii="Times New Roman" w:eastAsia="Times New Roman" w:hAnsi="Times New Roman" w:cs="Times New Roman"/>
          <w:kern w:val="0"/>
          <w:sz w:val="22"/>
          <w:szCs w:val="22"/>
          <w:lang w:eastAsia="tr-TR"/>
          <w14:ligatures w14:val="none"/>
        </w:rPr>
        <w:t xml:space="preserve"> sıralama ya da tavsiye sisteminde aleyhine olacak şekilde geriye düşürülmesi, hizmetin askıya alınması ya da sonlandırılması.</w:t>
      </w:r>
    </w:p>
    <w:p w14:paraId="59C92D26"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w:t>
      </w:r>
      <w:proofErr w:type="spellStart"/>
      <w:r w:rsidRPr="00EB2DC8">
        <w:rPr>
          <w:rFonts w:ascii="Times New Roman" w:eastAsia="Times New Roman" w:hAnsi="Times New Roman" w:cs="Times New Roman"/>
          <w:kern w:val="0"/>
          <w:sz w:val="22"/>
          <w:szCs w:val="22"/>
          <w:lang w:eastAsia="tr-TR"/>
          <w14:ligatures w14:val="none"/>
        </w:rPr>
        <w:t>ETAHS’nin</w:t>
      </w:r>
      <w:proofErr w:type="spellEnd"/>
      <w:r w:rsidRPr="00EB2DC8">
        <w:rPr>
          <w:rFonts w:ascii="Times New Roman" w:eastAsia="Times New Roman" w:hAnsi="Times New Roman" w:cs="Times New Roman"/>
          <w:kern w:val="0"/>
          <w:sz w:val="22"/>
          <w:szCs w:val="22"/>
          <w:lang w:eastAsia="tr-TR"/>
          <w14:ligatures w14:val="none"/>
        </w:rPr>
        <w:t xml:space="preserve">, </w:t>
      </w:r>
      <w:proofErr w:type="spellStart"/>
      <w:r w:rsidRPr="00EB2DC8">
        <w:rPr>
          <w:rFonts w:ascii="Times New Roman" w:eastAsia="Times New Roman" w:hAnsi="Times New Roman" w:cs="Times New Roman"/>
          <w:kern w:val="0"/>
          <w:sz w:val="22"/>
          <w:szCs w:val="22"/>
          <w:lang w:eastAsia="tr-TR"/>
          <w14:ligatures w14:val="none"/>
        </w:rPr>
        <w:t>ETHS’nin</w:t>
      </w:r>
      <w:proofErr w:type="spellEnd"/>
      <w:r w:rsidRPr="00EB2DC8">
        <w:rPr>
          <w:rFonts w:ascii="Times New Roman" w:eastAsia="Times New Roman" w:hAnsi="Times New Roman" w:cs="Times New Roman"/>
          <w:kern w:val="0"/>
          <w:sz w:val="22"/>
          <w:szCs w:val="22"/>
          <w:lang w:eastAsia="tr-TR"/>
          <w14:ligatures w14:val="none"/>
        </w:rPr>
        <w:t xml:space="preserve"> önceden onayı olmaksızın, </w:t>
      </w:r>
      <w:proofErr w:type="spellStart"/>
      <w:r w:rsidRPr="00EB2DC8">
        <w:rPr>
          <w:rFonts w:ascii="Times New Roman" w:eastAsia="Times New Roman" w:hAnsi="Times New Roman" w:cs="Times New Roman"/>
          <w:kern w:val="0"/>
          <w:sz w:val="22"/>
          <w:szCs w:val="22"/>
          <w:lang w:eastAsia="tr-TR"/>
          <w14:ligatures w14:val="none"/>
        </w:rPr>
        <w:t>TKHK’da</w:t>
      </w:r>
      <w:proofErr w:type="spellEnd"/>
      <w:r w:rsidRPr="00EB2DC8">
        <w:rPr>
          <w:rFonts w:ascii="Times New Roman" w:eastAsia="Times New Roman" w:hAnsi="Times New Roman" w:cs="Times New Roman"/>
          <w:kern w:val="0"/>
          <w:sz w:val="22"/>
          <w:szCs w:val="22"/>
          <w:lang w:eastAsia="tr-TR"/>
          <w14:ligatures w14:val="none"/>
        </w:rPr>
        <w:t xml:space="preserve"> öngörülen cayma hakkı sürelerinin üzerinde süre belirlemesi veya bu hükmün sözleşmede açık olmadan uygulanması.</w:t>
      </w:r>
    </w:p>
    <w:p w14:paraId="15D5F7D4"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w:t>
      </w:r>
      <w:proofErr w:type="spellStart"/>
      <w:r w:rsidRPr="00EB2DC8">
        <w:rPr>
          <w:rFonts w:ascii="Times New Roman" w:eastAsia="Times New Roman" w:hAnsi="Times New Roman" w:cs="Times New Roman"/>
          <w:kern w:val="0"/>
          <w:sz w:val="22"/>
          <w:szCs w:val="22"/>
          <w:lang w:eastAsia="tr-TR"/>
          <w14:ligatures w14:val="none"/>
        </w:rPr>
        <w:t>ETAHS’nin</w:t>
      </w:r>
      <w:proofErr w:type="spellEnd"/>
      <w:r w:rsidRPr="00EB2DC8">
        <w:rPr>
          <w:rFonts w:ascii="Times New Roman" w:eastAsia="Times New Roman" w:hAnsi="Times New Roman" w:cs="Times New Roman"/>
          <w:kern w:val="0"/>
          <w:sz w:val="22"/>
          <w:szCs w:val="22"/>
          <w:lang w:eastAsia="tr-TR"/>
          <w14:ligatures w14:val="none"/>
        </w:rPr>
        <w:t xml:space="preserve">, sözleşmede açıkça belirtilmemiş iken, </w:t>
      </w:r>
      <w:proofErr w:type="spellStart"/>
      <w:r w:rsidRPr="00EB2DC8">
        <w:rPr>
          <w:rFonts w:ascii="Times New Roman" w:eastAsia="Times New Roman" w:hAnsi="Times New Roman" w:cs="Times New Roman"/>
          <w:kern w:val="0"/>
          <w:sz w:val="22"/>
          <w:szCs w:val="22"/>
          <w:lang w:eastAsia="tr-TR"/>
          <w14:ligatures w14:val="none"/>
        </w:rPr>
        <w:t>ETHS’den</w:t>
      </w:r>
      <w:proofErr w:type="spellEnd"/>
      <w:r w:rsidRPr="00EB2DC8">
        <w:rPr>
          <w:rFonts w:ascii="Times New Roman" w:eastAsia="Times New Roman" w:hAnsi="Times New Roman" w:cs="Times New Roman"/>
          <w:kern w:val="0"/>
          <w:sz w:val="22"/>
          <w:szCs w:val="22"/>
          <w:lang w:eastAsia="tr-TR"/>
          <w14:ligatures w14:val="none"/>
        </w:rPr>
        <w:t xml:space="preserve"> açıklama talep etmeden doğrudan cezai şart uygulaması.</w:t>
      </w:r>
    </w:p>
    <w:p w14:paraId="4C913E81"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xml:space="preserve">Bu düzenlemeler, satıcı/hizmet sağlayıcı statüsünde olan </w:t>
      </w:r>
      <w:proofErr w:type="spellStart"/>
      <w:r w:rsidRPr="00EB2DC8">
        <w:rPr>
          <w:rFonts w:ascii="Times New Roman" w:eastAsia="Times New Roman" w:hAnsi="Times New Roman" w:cs="Times New Roman"/>
          <w:kern w:val="0"/>
          <w:sz w:val="22"/>
          <w:szCs w:val="22"/>
          <w:lang w:eastAsia="tr-TR"/>
          <w14:ligatures w14:val="none"/>
        </w:rPr>
        <w:t>ETHS’nin</w:t>
      </w:r>
      <w:proofErr w:type="spellEnd"/>
      <w:r w:rsidRPr="00EB2DC8">
        <w:rPr>
          <w:rFonts w:ascii="Times New Roman" w:eastAsia="Times New Roman" w:hAnsi="Times New Roman" w:cs="Times New Roman"/>
          <w:kern w:val="0"/>
          <w:sz w:val="22"/>
          <w:szCs w:val="22"/>
          <w:lang w:eastAsia="tr-TR"/>
          <w14:ligatures w14:val="none"/>
        </w:rPr>
        <w:t xml:space="preserve"> aracı platform karşısında güç dengesizliğine maruz kalmasını önlemeye yöneliktir.</w:t>
      </w:r>
      <w:r w:rsidRPr="00EB2DC8">
        <w:rPr>
          <w:rFonts w:ascii="Times New Roman" w:eastAsia="Times New Roman" w:hAnsi="Times New Roman" w:cs="Times New Roman"/>
          <w:b/>
          <w:bCs/>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kern w:val="0"/>
          <w:sz w:val="22"/>
          <w:szCs w:val="22"/>
          <w:lang w:eastAsia="tr-TR"/>
          <w14:ligatures w14:val="none"/>
        </w:rPr>
        <w:t>Bu tür uygulamalar, Rekabet Kurumu tarafından da “hâkim durumun kötüye kullanılması” Rekabet Kanunu m.6 kapsamında ayrıca değerlendirilebilir.</w:t>
      </w:r>
    </w:p>
    <w:p w14:paraId="7B17C76E" w14:textId="77777777" w:rsidR="00EB2DC8" w:rsidRPr="00EB2DC8" w:rsidRDefault="00EB2DC8" w:rsidP="00EB2DC8">
      <w:pPr>
        <w:spacing w:after="240" w:line="240" w:lineRule="auto"/>
        <w:jc w:val="both"/>
        <w:textAlignment w:val="baseline"/>
        <w:outlineLvl w:val="2"/>
        <w:rPr>
          <w:rFonts w:ascii="Times New Roman" w:eastAsia="Times New Roman" w:hAnsi="Times New Roman" w:cs="Times New Roman"/>
          <w:b/>
          <w:bCs/>
          <w:kern w:val="0"/>
          <w:sz w:val="22"/>
          <w:szCs w:val="22"/>
          <w:lang w:eastAsia="tr-TR"/>
          <w14:ligatures w14:val="none"/>
        </w:rPr>
      </w:pPr>
      <w:r w:rsidRPr="00EB2DC8">
        <w:rPr>
          <w:rFonts w:ascii="Times New Roman" w:eastAsia="Times New Roman" w:hAnsi="Times New Roman" w:cs="Times New Roman"/>
          <w:b/>
          <w:bCs/>
          <w:kern w:val="0"/>
          <w:sz w:val="22"/>
          <w:szCs w:val="22"/>
          <w:lang w:eastAsia="tr-TR"/>
          <w14:ligatures w14:val="none"/>
        </w:rPr>
        <w:t>3- Yaptırımlar</w:t>
      </w:r>
    </w:p>
    <w:p w14:paraId="5A4ACEBB"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b/>
          <w:bCs/>
          <w:kern w:val="0"/>
          <w:sz w:val="22"/>
          <w:szCs w:val="22"/>
          <w:bdr w:val="none" w:sz="0" w:space="0" w:color="auto" w:frame="1"/>
          <w:lang w:eastAsia="tr-TR"/>
          <w14:ligatures w14:val="none"/>
        </w:rPr>
        <w:t xml:space="preserve"> A- İdari Yaptırımlar</w:t>
      </w:r>
    </w:p>
    <w:p w14:paraId="02E9BADF"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xml:space="preserve">E-ticarette haksız ticari uygulamaların tespiti halinde uygulanacak yaptırımlar </w:t>
      </w:r>
      <w:proofErr w:type="spellStart"/>
      <w:r w:rsidRPr="00EB2DC8">
        <w:rPr>
          <w:rFonts w:ascii="Times New Roman" w:eastAsia="Times New Roman" w:hAnsi="Times New Roman" w:cs="Times New Roman"/>
          <w:kern w:val="0"/>
          <w:sz w:val="22"/>
          <w:szCs w:val="22"/>
          <w:lang w:eastAsia="tr-TR"/>
          <w14:ligatures w14:val="none"/>
        </w:rPr>
        <w:t>ETK’da</w:t>
      </w:r>
      <w:proofErr w:type="spellEnd"/>
      <w:r w:rsidRPr="00EB2DC8">
        <w:rPr>
          <w:rFonts w:ascii="Times New Roman" w:eastAsia="Times New Roman" w:hAnsi="Times New Roman" w:cs="Times New Roman"/>
          <w:kern w:val="0"/>
          <w:sz w:val="22"/>
          <w:szCs w:val="22"/>
          <w:lang w:eastAsia="tr-TR"/>
          <w14:ligatures w14:val="none"/>
        </w:rPr>
        <w:t xml:space="preserve"> yer almıştır.</w:t>
      </w:r>
    </w:p>
    <w:p w14:paraId="5BB2B5CE"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b/>
          <w:bCs/>
          <w:kern w:val="0"/>
          <w:sz w:val="22"/>
          <w:szCs w:val="22"/>
          <w:bdr w:val="none" w:sz="0" w:space="0" w:color="auto" w:frame="1"/>
          <w:lang w:eastAsia="tr-TR"/>
          <w14:ligatures w14:val="none"/>
        </w:rPr>
        <w:t>Reklam Kurulu Kararları:</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kern w:val="0"/>
          <w:sz w:val="22"/>
          <w:szCs w:val="22"/>
          <w:lang w:eastAsia="tr-TR"/>
          <w14:ligatures w14:val="none"/>
        </w:rPr>
        <w:t>Reklam Yönetmeliği m.34 gereğince, haksız ticari uygulama içeren tanıtımlar hakkında</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b/>
          <w:bCs/>
          <w:kern w:val="0"/>
          <w:sz w:val="22"/>
          <w:szCs w:val="22"/>
          <w:bdr w:val="none" w:sz="0" w:space="0" w:color="auto" w:frame="1"/>
          <w:lang w:eastAsia="tr-TR"/>
          <w14:ligatures w14:val="none"/>
        </w:rPr>
        <w:t>durdurma</w:t>
      </w:r>
      <w:r w:rsidRPr="00EB2DC8">
        <w:rPr>
          <w:rFonts w:ascii="Times New Roman" w:eastAsia="Times New Roman" w:hAnsi="Times New Roman" w:cs="Times New Roman"/>
          <w:kern w:val="0"/>
          <w:sz w:val="22"/>
          <w:szCs w:val="22"/>
          <w:lang w:eastAsia="tr-TR"/>
          <w14:ligatures w14:val="none"/>
        </w:rPr>
        <w:t>,</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b/>
          <w:bCs/>
          <w:kern w:val="0"/>
          <w:sz w:val="22"/>
          <w:szCs w:val="22"/>
          <w:bdr w:val="none" w:sz="0" w:space="0" w:color="auto" w:frame="1"/>
          <w:lang w:eastAsia="tr-TR"/>
          <w14:ligatures w14:val="none"/>
        </w:rPr>
        <w:t>düzeltme</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kern w:val="0"/>
          <w:sz w:val="22"/>
          <w:szCs w:val="22"/>
          <w:lang w:eastAsia="tr-TR"/>
          <w14:ligatures w14:val="none"/>
        </w:rPr>
        <w:t>veya</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b/>
          <w:bCs/>
          <w:kern w:val="0"/>
          <w:sz w:val="22"/>
          <w:szCs w:val="22"/>
          <w:bdr w:val="none" w:sz="0" w:space="0" w:color="auto" w:frame="1"/>
          <w:lang w:eastAsia="tr-TR"/>
          <w14:ligatures w14:val="none"/>
        </w:rPr>
        <w:t>idari para cezası</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kern w:val="0"/>
          <w:sz w:val="22"/>
          <w:szCs w:val="22"/>
          <w:lang w:eastAsia="tr-TR"/>
          <w14:ligatures w14:val="none"/>
        </w:rPr>
        <w:t>kararı verilebilir.</w:t>
      </w:r>
    </w:p>
    <w:p w14:paraId="71F593E6"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g) Ek 1 inci maddesinin birinci fıkrasına aykırı hareket eden elektronik ticaret aracı hizmet sağlayıcıya, haksız uygulamada bulunulan her bir elektronik ticaret hizmet sağlayıcı için yirmi iki bin sekiz yüz yedi Türk lirasından iki yüz yirmi sekiz bin yetmiş bir yüz bin Türk lirasına kadar,</w:t>
      </w:r>
    </w:p>
    <w:p w14:paraId="7537DD41"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ğ) Ek 1 inci maddesinin ikinci fıkrasının (a) bendine aykırı hareket eden elektronik ticaret aracı hizmet sağlayıcıya, süresinde ödeme yapılmayan her bir elektronik ticaret hizmet sağlayıcı için yirmi iki bin sekiz yüz yedi Türk az olmamak üzere, otuz güne kadarki süre aşımlarında ödenmeyen tutar kadar, otuz günü geçen süre aşımlarında ise süresinde ödenmeyen tutarın iki katı,</w:t>
      </w:r>
    </w:p>
    <w:p w14:paraId="7B300CCE"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xml:space="preserve">- h) Ek 1 inci maddesinin ikinci fıkrasının (b) bendine ve ek </w:t>
      </w:r>
      <w:proofErr w:type="gramStart"/>
      <w:r w:rsidRPr="00EB2DC8">
        <w:rPr>
          <w:rFonts w:ascii="Times New Roman" w:eastAsia="Times New Roman" w:hAnsi="Times New Roman" w:cs="Times New Roman"/>
          <w:kern w:val="0"/>
          <w:sz w:val="22"/>
          <w:szCs w:val="22"/>
          <w:lang w:eastAsia="tr-TR"/>
          <w14:ligatures w14:val="none"/>
        </w:rPr>
        <w:t xml:space="preserve">2 </w:t>
      </w:r>
      <w:proofErr w:type="spellStart"/>
      <w:r w:rsidRPr="00EB2DC8">
        <w:rPr>
          <w:rFonts w:ascii="Times New Roman" w:eastAsia="Times New Roman" w:hAnsi="Times New Roman" w:cs="Times New Roman"/>
          <w:kern w:val="0"/>
          <w:sz w:val="22"/>
          <w:szCs w:val="22"/>
          <w:lang w:eastAsia="tr-TR"/>
          <w14:ligatures w14:val="none"/>
        </w:rPr>
        <w:t>nci</w:t>
      </w:r>
      <w:proofErr w:type="spellEnd"/>
      <w:proofErr w:type="gramEnd"/>
      <w:r w:rsidRPr="00EB2DC8">
        <w:rPr>
          <w:rFonts w:ascii="Times New Roman" w:eastAsia="Times New Roman" w:hAnsi="Times New Roman" w:cs="Times New Roman"/>
          <w:kern w:val="0"/>
          <w:sz w:val="22"/>
          <w:szCs w:val="22"/>
          <w:lang w:eastAsia="tr-TR"/>
          <w14:ligatures w14:val="none"/>
        </w:rPr>
        <w:t xml:space="preserve"> maddesinin ikinci fıkrasının (b) bendine aykırı hareket eden elektronik ticaret aracı hizmet sağlayıcıya, her bir elektronik ticaret hizmet sağlayıcı için bir milyon yüz kırk bin üç yüz elli yedi Türk lirası,</w:t>
      </w:r>
    </w:p>
    <w:p w14:paraId="7D684753"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ı) Ek 1 inci maddesinin ikinci fıkrasının (c) bendine aykırı hareket eden ve Bakanlık tarafından yapılan uyarıya rağmen aykırılığı ortadan kaldırmayan elektronik ticaret aracı hizmet sağlayıcıya, her bir aykırılık için yirmi iki bin sekiz yüz yedi Türk lirası,</w:t>
      </w:r>
    </w:p>
    <w:p w14:paraId="24852B2C"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lastRenderedPageBreak/>
        <w:t>- i) Ek 1 inci maddesinin ikinci fıkrasının (d) bendine aykırı hareket eden elektronik ticaret aracı hizmet sağlayıcıya, haksız olarak alınan bedelin on katı,</w:t>
      </w:r>
    </w:p>
    <w:p w14:paraId="23D5FFBE"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xml:space="preserve">- j) Ek 1 inci maddesinin ikinci fıkrasının (e) bendine aykırı hareket eden elektronik ticaret aracı hizmet sağlayıcıya, haksız uygulamada bulunulan her bir elektronik ticaret hizmet sağlayıcı için altı yüz </w:t>
      </w:r>
      <w:proofErr w:type="spellStart"/>
      <w:r w:rsidRPr="00EB2DC8">
        <w:rPr>
          <w:rFonts w:ascii="Times New Roman" w:eastAsia="Times New Roman" w:hAnsi="Times New Roman" w:cs="Times New Roman"/>
          <w:kern w:val="0"/>
          <w:sz w:val="22"/>
          <w:szCs w:val="22"/>
          <w:lang w:eastAsia="tr-TR"/>
          <w14:ligatures w14:val="none"/>
        </w:rPr>
        <w:t>seksendört</w:t>
      </w:r>
      <w:proofErr w:type="spellEnd"/>
      <w:r w:rsidRPr="00EB2DC8">
        <w:rPr>
          <w:rFonts w:ascii="Times New Roman" w:eastAsia="Times New Roman" w:hAnsi="Times New Roman" w:cs="Times New Roman"/>
          <w:kern w:val="0"/>
          <w:sz w:val="22"/>
          <w:szCs w:val="22"/>
          <w:lang w:eastAsia="tr-TR"/>
          <w14:ligatures w14:val="none"/>
        </w:rPr>
        <w:t xml:space="preserve"> bin iki yüz on dört Türk lirası,</w:t>
      </w:r>
    </w:p>
    <w:p w14:paraId="63C0DDCF" w14:textId="77777777" w:rsidR="00EB2DC8" w:rsidRPr="00EB2DC8" w:rsidRDefault="00EB2DC8" w:rsidP="00EB2DC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b/>
          <w:bCs/>
          <w:kern w:val="0"/>
          <w:sz w:val="22"/>
          <w:szCs w:val="22"/>
          <w:bdr w:val="none" w:sz="0" w:space="0" w:color="auto" w:frame="1"/>
          <w:lang w:eastAsia="tr-TR"/>
          <w14:ligatures w14:val="none"/>
        </w:rPr>
        <w:t xml:space="preserve"> B- Özel Hukuk Yaptırımları</w:t>
      </w:r>
    </w:p>
    <w:p w14:paraId="790A3A78"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Haksız Ticari Uygulamalar nedeniyle zarar gören tüketiciler veya satıcılar, Türk Borçlar Kanunu m.49 uyarınca haksız fiil sorumluluğu hükümlerine dayanarak tazminat talep edebilirler. Ayrıca davranışın piyasa hakimiyetinin kötüye kullanılmasına yol açması hâlinde, Rekabet Kanunu kapsamında Rekabet Kurulu tarafından ayrıca soruşturma başlatılabilir.</w:t>
      </w:r>
    </w:p>
    <w:p w14:paraId="1871F97E" w14:textId="77777777" w:rsidR="00EB2DC8" w:rsidRPr="00EB2DC8" w:rsidRDefault="00EB2DC8" w:rsidP="00EB2DC8">
      <w:pPr>
        <w:spacing w:after="240" w:line="240" w:lineRule="auto"/>
        <w:jc w:val="both"/>
        <w:textAlignment w:val="baseline"/>
        <w:outlineLvl w:val="2"/>
        <w:rPr>
          <w:rFonts w:ascii="Times New Roman" w:eastAsia="Times New Roman" w:hAnsi="Times New Roman" w:cs="Times New Roman"/>
          <w:b/>
          <w:bCs/>
          <w:kern w:val="0"/>
          <w:sz w:val="22"/>
          <w:szCs w:val="22"/>
          <w:lang w:eastAsia="tr-TR"/>
          <w14:ligatures w14:val="none"/>
        </w:rPr>
      </w:pPr>
      <w:r w:rsidRPr="00EB2DC8">
        <w:rPr>
          <w:rFonts w:ascii="Times New Roman" w:eastAsia="Times New Roman" w:hAnsi="Times New Roman" w:cs="Times New Roman"/>
          <w:b/>
          <w:bCs/>
          <w:kern w:val="0"/>
          <w:sz w:val="22"/>
          <w:szCs w:val="22"/>
          <w:lang w:eastAsia="tr-TR"/>
          <w14:ligatures w14:val="none"/>
        </w:rPr>
        <w:t>4- Uyum ve Kurumsal Sorumluluk</w:t>
      </w:r>
    </w:p>
    <w:p w14:paraId="677D1FD4"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xml:space="preserve">E-ticaret aktörlerinin haksız ticari uygulamalardan kaçınabilmesi için sistematik bir hukuki </w:t>
      </w:r>
      <w:proofErr w:type="gramStart"/>
      <w:r w:rsidRPr="00EB2DC8">
        <w:rPr>
          <w:rFonts w:ascii="Times New Roman" w:eastAsia="Times New Roman" w:hAnsi="Times New Roman" w:cs="Times New Roman"/>
          <w:kern w:val="0"/>
          <w:sz w:val="22"/>
          <w:szCs w:val="22"/>
          <w:lang w:eastAsia="tr-TR"/>
          <w14:ligatures w14:val="none"/>
        </w:rPr>
        <w:t>uyum  programı</w:t>
      </w:r>
      <w:proofErr w:type="gramEnd"/>
      <w:r w:rsidRPr="00EB2DC8">
        <w:rPr>
          <w:rFonts w:ascii="Times New Roman" w:eastAsia="Times New Roman" w:hAnsi="Times New Roman" w:cs="Times New Roman"/>
          <w:kern w:val="0"/>
          <w:sz w:val="22"/>
          <w:szCs w:val="22"/>
          <w:lang w:eastAsia="tr-TR"/>
          <w14:ligatures w14:val="none"/>
        </w:rPr>
        <w:t xml:space="preserve"> yürütmesi zorunludur. Bu kapsamda:</w:t>
      </w:r>
    </w:p>
    <w:p w14:paraId="463AE5AD"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Platform arayüzlerinin ve kampanya tasarımlarının Reklam Yönetmeliği’ne uygunluğu periyodik olarak denetlenmeli,</w:t>
      </w:r>
    </w:p>
    <w:p w14:paraId="5C89F9A2"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ETAHS ile ETHS arasındaki aracılık sözleşmeleri tek taraflı değişiklik yasağına uygun hale getirilmeli,</w:t>
      </w:r>
    </w:p>
    <w:p w14:paraId="343AA93F"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Veri kullanımı, yalnızca hizmet sunumuna ilişkin amaçlarla sınırlandırılmalı,</w:t>
      </w:r>
    </w:p>
    <w:p w14:paraId="497BB738"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Cayma hakkı, iade ve bedel iadesi süreçleri tüketici aleyhine gecikmeye mahal vermeyecek biçimde tasarlanmalıdır.</w:t>
      </w:r>
    </w:p>
    <w:p w14:paraId="2A30B750"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Bu yükümlülüklerin ihlali, sadece idari yaptırımlara değil, marka itibarı ve tüketici güveni kaybı gibi dolaylı sonuçlara da yol açabilir.</w:t>
      </w:r>
    </w:p>
    <w:p w14:paraId="29F534FB" w14:textId="77777777" w:rsidR="00EB2DC8" w:rsidRPr="00EB2DC8" w:rsidRDefault="00EB2DC8" w:rsidP="00EB2DC8">
      <w:pPr>
        <w:spacing w:after="240" w:line="240" w:lineRule="auto"/>
        <w:jc w:val="both"/>
        <w:textAlignment w:val="baseline"/>
        <w:outlineLvl w:val="2"/>
        <w:rPr>
          <w:rFonts w:ascii="Times New Roman" w:eastAsia="Times New Roman" w:hAnsi="Times New Roman" w:cs="Times New Roman"/>
          <w:b/>
          <w:bCs/>
          <w:kern w:val="0"/>
          <w:sz w:val="22"/>
          <w:szCs w:val="22"/>
          <w:lang w:eastAsia="tr-TR"/>
          <w14:ligatures w14:val="none"/>
        </w:rPr>
      </w:pPr>
      <w:r w:rsidRPr="00EB2DC8">
        <w:rPr>
          <w:rFonts w:ascii="Times New Roman" w:eastAsia="Times New Roman" w:hAnsi="Times New Roman" w:cs="Times New Roman"/>
          <w:b/>
          <w:bCs/>
          <w:kern w:val="0"/>
          <w:sz w:val="22"/>
          <w:szCs w:val="22"/>
          <w:lang w:eastAsia="tr-TR"/>
          <w14:ligatures w14:val="none"/>
        </w:rPr>
        <w:t>5- Sonuç</w:t>
      </w:r>
    </w:p>
    <w:p w14:paraId="3EFE4E83"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E-ticarette haksız ticari uygulamalara ilişkin düzenlemeler, Türk hukuk sisteminde yalnızca tüketici menfaatlerini değil, adil rekabetin ve dijital piyasa bütünlüğünün korunmasını da hedefler niteliktedir. ETK ve ilgili yönetmelikler, klasik ticaretin sınırlarını aşan dijital davranış biçimlerini hukuki kontrol altına almış; böylece hem satıcı-tüketici hem de satıcı-platform ilişkilerinde yeni bir denge tesis etmiştir.</w:t>
      </w:r>
    </w:p>
    <w:p w14:paraId="3D16BC73" w14:textId="77777777" w:rsidR="00EB2DC8" w:rsidRPr="00EB2DC8" w:rsidRDefault="00EB2DC8" w:rsidP="00EB2DC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Bu itibarla, elektronik ticaret faaliyetinde bulunan tüm aktörlerin, faaliyetlerini sadece ekonomik değil, aynı zamanda hukuki özen, şeffaflık ve sorumluluk ilkeleri doğrultusunda yürütmeleri gerekmektedir. Zira dijital piyasada sürdürülebilir başarının temeli, artık yalnızca inovasyon değil, hukuka uyum kapasitesidir.</w:t>
      </w:r>
    </w:p>
    <w:p w14:paraId="0006B0B1" w14:textId="77777777" w:rsidR="00EB2DC8" w:rsidRPr="00EB2DC8" w:rsidRDefault="00EB2DC8" w:rsidP="004C39FC">
      <w:pPr>
        <w:jc w:val="both"/>
        <w:rPr>
          <w:rFonts w:ascii="Times New Roman" w:hAnsi="Times New Roman" w:cs="Times New Roman"/>
          <w:sz w:val="22"/>
          <w:szCs w:val="22"/>
        </w:rPr>
      </w:pPr>
    </w:p>
    <w:p w14:paraId="45E42F24" w14:textId="77777777" w:rsidR="004C39FC" w:rsidRPr="00EB2DC8" w:rsidRDefault="004C39FC" w:rsidP="004C39FC">
      <w:pPr>
        <w:jc w:val="both"/>
        <w:rPr>
          <w:rFonts w:ascii="Times New Roman" w:hAnsi="Times New Roman" w:cs="Times New Roman"/>
          <w:sz w:val="22"/>
          <w:szCs w:val="22"/>
        </w:rPr>
      </w:pPr>
    </w:p>
    <w:p w14:paraId="3D517A4C" w14:textId="77777777" w:rsidR="008822C7" w:rsidRPr="00EB2DC8" w:rsidRDefault="008822C7" w:rsidP="008822C7">
      <w:pPr>
        <w:tabs>
          <w:tab w:val="num" w:pos="567"/>
        </w:tabs>
        <w:spacing w:after="0" w:line="276" w:lineRule="auto"/>
        <w:jc w:val="both"/>
        <w:rPr>
          <w:rFonts w:ascii="Times New Roman" w:hAnsi="Times New Roman" w:cs="Times New Roman"/>
          <w:b/>
          <w:bCs/>
          <w:sz w:val="22"/>
          <w:szCs w:val="22"/>
        </w:rPr>
      </w:pPr>
    </w:p>
    <w:p w14:paraId="5E1BFF6A" w14:textId="6773BAA3" w:rsidR="008822C7" w:rsidRPr="00EB2DC8" w:rsidRDefault="000D41D2" w:rsidP="000D41D2">
      <w:pPr>
        <w:tabs>
          <w:tab w:val="num" w:pos="567"/>
        </w:tabs>
        <w:spacing w:after="0" w:line="276" w:lineRule="auto"/>
        <w:jc w:val="right"/>
        <w:rPr>
          <w:rFonts w:ascii="Times New Roman" w:hAnsi="Times New Roman" w:cs="Times New Roman"/>
          <w:b/>
          <w:bCs/>
          <w:sz w:val="22"/>
          <w:szCs w:val="22"/>
        </w:rPr>
      </w:pPr>
      <w:r w:rsidRPr="00EB2DC8">
        <w:rPr>
          <w:rFonts w:ascii="Times New Roman" w:hAnsi="Times New Roman" w:cs="Times New Roman"/>
          <w:b/>
          <w:bCs/>
          <w:sz w:val="22"/>
          <w:szCs w:val="22"/>
        </w:rPr>
        <w:t>16 ARALIK 2025</w:t>
      </w:r>
    </w:p>
    <w:p w14:paraId="632AC3B2" w14:textId="77777777" w:rsidR="001824D6" w:rsidRPr="00EB2DC8" w:rsidRDefault="001824D6" w:rsidP="001824D6">
      <w:pPr>
        <w:numPr>
          <w:ilvl w:val="0"/>
          <w:numId w:val="1"/>
        </w:numPr>
        <w:tabs>
          <w:tab w:val="clear" w:pos="720"/>
          <w:tab w:val="num" w:pos="567"/>
        </w:tabs>
        <w:spacing w:after="0" w:line="276" w:lineRule="auto"/>
        <w:ind w:left="0"/>
        <w:jc w:val="both"/>
        <w:rPr>
          <w:rFonts w:ascii="Times New Roman" w:hAnsi="Times New Roman" w:cs="Times New Roman"/>
          <w:b/>
          <w:bCs/>
          <w:sz w:val="22"/>
          <w:szCs w:val="22"/>
        </w:rPr>
      </w:pPr>
      <w:r w:rsidRPr="00EB2DC8">
        <w:rPr>
          <w:rFonts w:ascii="Times New Roman" w:hAnsi="Times New Roman" w:cs="Times New Roman"/>
          <w:b/>
          <w:bCs/>
          <w:sz w:val="22"/>
          <w:szCs w:val="22"/>
        </w:rPr>
        <w:t xml:space="preserve">VERİ PAYLAŞIMI VE TİCARİ SIR: E-TİCARET PLATFORMLARININ SINIRLARI </w:t>
      </w:r>
    </w:p>
    <w:p w14:paraId="07A31B87" w14:textId="77777777" w:rsidR="002059CA" w:rsidRPr="00EB2DC8" w:rsidRDefault="002059CA" w:rsidP="002059CA">
      <w:pPr>
        <w:tabs>
          <w:tab w:val="num" w:pos="567"/>
        </w:tabs>
        <w:spacing w:after="0" w:line="276" w:lineRule="auto"/>
        <w:jc w:val="both"/>
        <w:rPr>
          <w:rFonts w:ascii="Times New Roman" w:hAnsi="Times New Roman" w:cs="Times New Roman"/>
          <w:b/>
          <w:bCs/>
          <w:sz w:val="22"/>
          <w:szCs w:val="22"/>
        </w:rPr>
      </w:pPr>
    </w:p>
    <w:p w14:paraId="27AD9303" w14:textId="77777777" w:rsidR="002059CA" w:rsidRPr="00EB2DC8" w:rsidRDefault="002059CA" w:rsidP="002059CA">
      <w:pPr>
        <w:jc w:val="both"/>
        <w:rPr>
          <w:rFonts w:ascii="Times New Roman" w:hAnsi="Times New Roman" w:cs="Times New Roman"/>
          <w:sz w:val="22"/>
          <w:szCs w:val="22"/>
        </w:rPr>
      </w:pPr>
      <w:r w:rsidRPr="00EB2DC8">
        <w:rPr>
          <w:rFonts w:ascii="Times New Roman" w:hAnsi="Times New Roman" w:cs="Times New Roman"/>
          <w:sz w:val="22"/>
          <w:szCs w:val="22"/>
        </w:rPr>
        <w:t>E-ticaret sektörü son yıllarda dijital ekonominin temel bileşenlerinden biri haline gelmiş ve bu dönüşüm, veri temelli iş modellerini ön plana çıkarmıştır. Bu kapsamda e-ticaret platformlarının yalnızca bir ticari aracılık hizmeti sunmadığı, aynı zamanda veri toplayan, işleyen ve yöneten yapılar olduğu görülmektedir. Platformların sahip olduğu bu veri setleri, bir yandan hizmet kalitesini artırma amacı taşırken, diğer yandan rekabeti bozabilecek veya ticari sırların ihlaline yol açabilecek riskler içermektedir.</w:t>
      </w:r>
    </w:p>
    <w:p w14:paraId="48EDAF95" w14:textId="18638D79" w:rsidR="002059CA" w:rsidRPr="00EB2DC8" w:rsidRDefault="002059CA" w:rsidP="002059CA">
      <w:pPr>
        <w:jc w:val="both"/>
        <w:rPr>
          <w:rFonts w:ascii="Times New Roman" w:hAnsi="Times New Roman" w:cs="Times New Roman"/>
          <w:sz w:val="22"/>
          <w:szCs w:val="22"/>
        </w:rPr>
      </w:pPr>
      <w:r w:rsidRPr="00EB2DC8">
        <w:rPr>
          <w:rFonts w:ascii="Times New Roman" w:hAnsi="Times New Roman" w:cs="Times New Roman"/>
          <w:sz w:val="22"/>
          <w:szCs w:val="22"/>
        </w:rPr>
        <w:t>Bu makalede, Türkiye</w:t>
      </w:r>
      <w:r w:rsidR="00775ACD" w:rsidRPr="00EB2DC8">
        <w:rPr>
          <w:rFonts w:ascii="Times New Roman" w:hAnsi="Times New Roman" w:cs="Times New Roman"/>
          <w:sz w:val="22"/>
          <w:szCs w:val="22"/>
        </w:rPr>
        <w:t>’</w:t>
      </w:r>
      <w:r w:rsidRPr="00EB2DC8">
        <w:rPr>
          <w:rFonts w:ascii="Times New Roman" w:hAnsi="Times New Roman" w:cs="Times New Roman"/>
          <w:sz w:val="22"/>
          <w:szCs w:val="22"/>
        </w:rPr>
        <w:t>deki mevzuat çerçevesinde e-ticaret platformlarının veri paylaşımı sınırları, ticari sırların korunması yükümlülüğü ve bu bağlamdaki hukuki ve rekabetçi düzenlemeler değerlendirilecektir.</w:t>
      </w:r>
    </w:p>
    <w:p w14:paraId="6175CAA2" w14:textId="77777777" w:rsidR="002059CA" w:rsidRPr="00EB2DC8" w:rsidRDefault="002059CA" w:rsidP="002059CA">
      <w:pPr>
        <w:jc w:val="both"/>
        <w:rPr>
          <w:rFonts w:ascii="Times New Roman" w:hAnsi="Times New Roman" w:cs="Times New Roman"/>
          <w:b/>
          <w:bCs/>
          <w:sz w:val="22"/>
          <w:szCs w:val="22"/>
        </w:rPr>
      </w:pPr>
      <w:r w:rsidRPr="00EB2DC8">
        <w:rPr>
          <w:rFonts w:ascii="Times New Roman" w:hAnsi="Times New Roman" w:cs="Times New Roman"/>
          <w:b/>
          <w:bCs/>
          <w:sz w:val="22"/>
          <w:szCs w:val="22"/>
        </w:rPr>
        <w:t>Aracı Hizmet Sağlayıcıların (“ETAHS”) Veriye İlişkin Yükümlülükleri</w:t>
      </w:r>
    </w:p>
    <w:p w14:paraId="7EEB8B14" w14:textId="605CD391" w:rsidR="002059CA" w:rsidRPr="00EB2DC8" w:rsidRDefault="002059CA" w:rsidP="002059CA">
      <w:pPr>
        <w:jc w:val="both"/>
        <w:rPr>
          <w:rFonts w:ascii="Times New Roman" w:hAnsi="Times New Roman" w:cs="Times New Roman"/>
          <w:sz w:val="22"/>
          <w:szCs w:val="22"/>
        </w:rPr>
      </w:pPr>
      <w:r w:rsidRPr="00EB2DC8">
        <w:rPr>
          <w:rFonts w:ascii="Times New Roman" w:hAnsi="Times New Roman" w:cs="Times New Roman"/>
          <w:sz w:val="22"/>
          <w:szCs w:val="22"/>
        </w:rPr>
        <w:t>6563 sayılı Elektronik Ticaretin Düzenlenmesi Hakkında Kanun (“</w:t>
      </w:r>
      <w:r w:rsidRPr="00EB2DC8">
        <w:rPr>
          <w:rFonts w:ascii="Times New Roman" w:hAnsi="Times New Roman" w:cs="Times New Roman"/>
          <w:b/>
          <w:bCs/>
          <w:sz w:val="22"/>
          <w:szCs w:val="22"/>
        </w:rPr>
        <w:t>Kanun</w:t>
      </w:r>
      <w:r w:rsidRPr="00EB2DC8">
        <w:rPr>
          <w:rFonts w:ascii="Times New Roman" w:hAnsi="Times New Roman" w:cs="Times New Roman"/>
          <w:sz w:val="22"/>
          <w:szCs w:val="22"/>
        </w:rPr>
        <w:t>”) ve bu Kanun’a dayanılarak çıkarılan Elektronik Ticaret Aracı Hizmet Sağlayıcı ve Elektronik Ticaret Hizmet Sağlayıcılar Hakkında Yönetmelik (“</w:t>
      </w:r>
      <w:r w:rsidRPr="00EB2DC8">
        <w:rPr>
          <w:rFonts w:ascii="Times New Roman" w:hAnsi="Times New Roman" w:cs="Times New Roman"/>
          <w:b/>
          <w:bCs/>
          <w:sz w:val="22"/>
          <w:szCs w:val="22"/>
        </w:rPr>
        <w:t>Yönetmelik</w:t>
      </w:r>
      <w:r w:rsidRPr="00EB2DC8">
        <w:rPr>
          <w:rFonts w:ascii="Times New Roman" w:hAnsi="Times New Roman" w:cs="Times New Roman"/>
          <w:sz w:val="22"/>
          <w:szCs w:val="22"/>
        </w:rPr>
        <w:t xml:space="preserve">”), aracı hizmet sağlayıcıların veri paylaşımına ilişkin yükümlülüklerini açık biçimde düzenlemiştir. Buna göre özellikle orta, büyük ve çok büyük ölçekli e-ticaret </w:t>
      </w:r>
      <w:r w:rsidR="00775ACD" w:rsidRPr="00EB2DC8">
        <w:rPr>
          <w:rFonts w:ascii="Times New Roman" w:hAnsi="Times New Roman" w:cs="Times New Roman"/>
          <w:sz w:val="22"/>
          <w:szCs w:val="22"/>
        </w:rPr>
        <w:t>P</w:t>
      </w:r>
      <w:r w:rsidRPr="00EB2DC8">
        <w:rPr>
          <w:rFonts w:ascii="Times New Roman" w:hAnsi="Times New Roman" w:cs="Times New Roman"/>
          <w:sz w:val="22"/>
          <w:szCs w:val="22"/>
        </w:rPr>
        <w:t>azar yerleri için getirilen başlıca yükümlülükler şunlardır:</w:t>
      </w:r>
    </w:p>
    <w:p w14:paraId="2D43837D" w14:textId="77777777" w:rsidR="002059CA" w:rsidRPr="00EB2DC8" w:rsidRDefault="002059CA" w:rsidP="002059CA">
      <w:pPr>
        <w:numPr>
          <w:ilvl w:val="0"/>
          <w:numId w:val="20"/>
        </w:numPr>
        <w:jc w:val="both"/>
        <w:rPr>
          <w:rFonts w:ascii="Times New Roman" w:hAnsi="Times New Roman" w:cs="Times New Roman"/>
          <w:sz w:val="22"/>
          <w:szCs w:val="22"/>
        </w:rPr>
      </w:pPr>
      <w:r w:rsidRPr="00EB2DC8">
        <w:rPr>
          <w:rFonts w:ascii="Times New Roman" w:hAnsi="Times New Roman" w:cs="Times New Roman"/>
          <w:b/>
          <w:bCs/>
          <w:sz w:val="22"/>
          <w:szCs w:val="22"/>
        </w:rPr>
        <w:t>Amaçla Sınırlı Veri Kullanımı:</w:t>
      </w:r>
      <w:r w:rsidRPr="00EB2DC8">
        <w:rPr>
          <w:rFonts w:ascii="Times New Roman" w:hAnsi="Times New Roman" w:cs="Times New Roman"/>
          <w:sz w:val="22"/>
          <w:szCs w:val="22"/>
        </w:rPr>
        <w:t xml:space="preserve"> Platformlar, satıcıdan veya alıcıdan elde ettikleri verileri yalnızca aracılık hizmetinin sunulması ve geliştirilmesi amacıyla kullanabilir; bu veriler platform tarafından başka bir amaçla veya satıcının aleyhine olacak şekilde kullanılamaz. Özellikle </w:t>
      </w:r>
      <w:proofErr w:type="spellStart"/>
      <w:r w:rsidRPr="00EB2DC8">
        <w:rPr>
          <w:rFonts w:ascii="Times New Roman" w:hAnsi="Times New Roman" w:cs="Times New Roman"/>
          <w:sz w:val="22"/>
          <w:szCs w:val="22"/>
        </w:rPr>
        <w:t>ETAHS’nin</w:t>
      </w:r>
      <w:proofErr w:type="spellEnd"/>
      <w:r w:rsidRPr="00EB2DC8">
        <w:rPr>
          <w:rFonts w:ascii="Times New Roman" w:hAnsi="Times New Roman" w:cs="Times New Roman"/>
          <w:sz w:val="22"/>
          <w:szCs w:val="22"/>
        </w:rPr>
        <w:t xml:space="preserve"> aracılık hizmetinden elde ettiği verileri, kendisinin de satıcı (ETHS) konumunda olduğu durumlarda veya ekonomik bütünlüğü içindeki diğer satıcılar lehine rekabet avantajı sağlamak için kullanması yasaktır.</w:t>
      </w:r>
    </w:p>
    <w:p w14:paraId="12182AC1" w14:textId="77777777" w:rsidR="002059CA" w:rsidRPr="00EB2DC8" w:rsidRDefault="002059CA" w:rsidP="002059CA">
      <w:pPr>
        <w:numPr>
          <w:ilvl w:val="0"/>
          <w:numId w:val="20"/>
        </w:numPr>
        <w:jc w:val="both"/>
        <w:rPr>
          <w:rFonts w:ascii="Times New Roman" w:hAnsi="Times New Roman" w:cs="Times New Roman"/>
          <w:sz w:val="22"/>
          <w:szCs w:val="22"/>
        </w:rPr>
      </w:pPr>
      <w:r w:rsidRPr="00EB2DC8">
        <w:rPr>
          <w:rFonts w:ascii="Times New Roman" w:hAnsi="Times New Roman" w:cs="Times New Roman"/>
          <w:b/>
          <w:bCs/>
          <w:sz w:val="22"/>
          <w:szCs w:val="22"/>
        </w:rPr>
        <w:t xml:space="preserve">Satıcı Verilerine Erişim ve </w:t>
      </w:r>
      <w:proofErr w:type="spellStart"/>
      <w:r w:rsidRPr="00EB2DC8">
        <w:rPr>
          <w:rFonts w:ascii="Times New Roman" w:hAnsi="Times New Roman" w:cs="Times New Roman"/>
          <w:b/>
          <w:bCs/>
          <w:sz w:val="22"/>
          <w:szCs w:val="22"/>
        </w:rPr>
        <w:t>Portabilite</w:t>
      </w:r>
      <w:proofErr w:type="spellEnd"/>
      <w:r w:rsidRPr="00EB2DC8">
        <w:rPr>
          <w:rFonts w:ascii="Times New Roman" w:hAnsi="Times New Roman" w:cs="Times New Roman"/>
          <w:b/>
          <w:bCs/>
          <w:sz w:val="22"/>
          <w:szCs w:val="22"/>
        </w:rPr>
        <w:t>:</w:t>
      </w:r>
      <w:r w:rsidRPr="00EB2DC8">
        <w:rPr>
          <w:rFonts w:ascii="Times New Roman" w:hAnsi="Times New Roman" w:cs="Times New Roman"/>
          <w:sz w:val="22"/>
          <w:szCs w:val="22"/>
        </w:rPr>
        <w:t xml:space="preserve"> Platform, aracılık sözleşmesi süresince ve sözleşme bitiminden itibaren en az bir yıl boyunca, satıcının kendi ürünlerine ilişkin verilerini ücretsiz ve etkin şekilde veri taşıma imkânıyla sunmak zorundadır. Buna, satıcının satışa sunduğu ürünlerin satış ve iade kayıtları, ürün açıklama ve görselleri ile bu ürünlere ait müşteri soru-cevap ve değerlendirme verileri dahildir. Ayrıca platformun elinde mevcutsa, satıcının performans puanı da satıcıya aktarılmalıdır.</w:t>
      </w:r>
    </w:p>
    <w:p w14:paraId="442CE782" w14:textId="77777777" w:rsidR="002059CA" w:rsidRPr="00EB2DC8" w:rsidRDefault="002059CA" w:rsidP="002059CA">
      <w:pPr>
        <w:numPr>
          <w:ilvl w:val="0"/>
          <w:numId w:val="20"/>
        </w:numPr>
        <w:jc w:val="both"/>
        <w:rPr>
          <w:rFonts w:ascii="Times New Roman" w:hAnsi="Times New Roman" w:cs="Times New Roman"/>
          <w:sz w:val="22"/>
          <w:szCs w:val="22"/>
        </w:rPr>
      </w:pPr>
      <w:r w:rsidRPr="00EB2DC8">
        <w:rPr>
          <w:rFonts w:ascii="Times New Roman" w:hAnsi="Times New Roman" w:cs="Times New Roman"/>
          <w:b/>
          <w:bCs/>
          <w:sz w:val="22"/>
          <w:szCs w:val="22"/>
        </w:rPr>
        <w:t>Genel ve Anonimleştirilmiş İstatistiklere Erişim:</w:t>
      </w:r>
      <w:r w:rsidRPr="00EB2DC8">
        <w:rPr>
          <w:rFonts w:ascii="Times New Roman" w:hAnsi="Times New Roman" w:cs="Times New Roman"/>
          <w:sz w:val="22"/>
          <w:szCs w:val="22"/>
        </w:rPr>
        <w:t xml:space="preserve"> Platform tarafından elde edilen toplu veriler de satıcıyla paylaşılmalıdır. Örneğin, dönemsel veya özel gün bazında en çok tercih edilen ürünlere ilişkin istatistikler ile alıcıların demografik dağılımına (cinsiyet, yaş grubu, bölge ve satın alma zamanı gibi) dair veriler –eğer platform bu verileri topluyorsa– satıcının erişimine sunulur. Bu paylaşımlar, kişisel verilerin korunması amacıyla alıcı bilgileri anonim hale getirilerek yapılır. Nitekim mevzuat, satıcının veri erişim ve veri taşıma taleplerinin platform tarafından en geç 15 gün içinde alıcı bilgileri anonimleştirilerek karşılanmasını zorunlu kılmıştır.</w:t>
      </w:r>
    </w:p>
    <w:p w14:paraId="09BA4550" w14:textId="77777777" w:rsidR="002059CA" w:rsidRPr="00EB2DC8" w:rsidRDefault="002059CA" w:rsidP="002059CA">
      <w:pPr>
        <w:numPr>
          <w:ilvl w:val="0"/>
          <w:numId w:val="20"/>
        </w:numPr>
        <w:jc w:val="both"/>
        <w:rPr>
          <w:rFonts w:ascii="Times New Roman" w:hAnsi="Times New Roman" w:cs="Times New Roman"/>
          <w:sz w:val="22"/>
          <w:szCs w:val="22"/>
        </w:rPr>
      </w:pPr>
      <w:r w:rsidRPr="00EB2DC8">
        <w:rPr>
          <w:rFonts w:ascii="Times New Roman" w:hAnsi="Times New Roman" w:cs="Times New Roman"/>
          <w:b/>
          <w:bCs/>
          <w:sz w:val="22"/>
          <w:szCs w:val="22"/>
        </w:rPr>
        <w:t>Üçüncü Taraflara Veri Aktarımı:</w:t>
      </w:r>
      <w:r w:rsidRPr="00EB2DC8">
        <w:rPr>
          <w:rFonts w:ascii="Times New Roman" w:hAnsi="Times New Roman" w:cs="Times New Roman"/>
          <w:sz w:val="22"/>
          <w:szCs w:val="22"/>
        </w:rPr>
        <w:t xml:space="preserve"> Platformlar, faaliyetleri kapsamında edindikleri verileri üçüncü taraflarla paylaşırken de hukuki sınırlamalara tabidir. Kamuya açık veriler dışında kalan veriler, kural olarak satıcının onayı veya kanuni bir yükümlülük olmaksızın üçüncü kişilere </w:t>
      </w:r>
      <w:r w:rsidRPr="00EB2DC8">
        <w:rPr>
          <w:rFonts w:ascii="Times New Roman" w:hAnsi="Times New Roman" w:cs="Times New Roman"/>
          <w:sz w:val="22"/>
          <w:szCs w:val="22"/>
        </w:rPr>
        <w:lastRenderedPageBreak/>
        <w:t>aktarılmamalıdır. Bu kural hem ticari sır niteliğindeki bilgilerin korunması hem de kişisel verilerin gizliliği açısından önem taşır. Örneğin, bir platformun satıcıya ait detaylı satış verilerini satıcının rızası olmaksızın bir reklam ajansıyla paylaşması dürüstlük kuralına aykırı düşecektir.</w:t>
      </w:r>
    </w:p>
    <w:p w14:paraId="4A01D4CB" w14:textId="77777777" w:rsidR="002059CA" w:rsidRPr="00EB2DC8" w:rsidRDefault="002059CA" w:rsidP="002059CA">
      <w:pPr>
        <w:jc w:val="both"/>
        <w:rPr>
          <w:rFonts w:ascii="Times New Roman" w:hAnsi="Times New Roman" w:cs="Times New Roman"/>
          <w:sz w:val="22"/>
          <w:szCs w:val="22"/>
        </w:rPr>
      </w:pPr>
      <w:r w:rsidRPr="00EB2DC8">
        <w:rPr>
          <w:rFonts w:ascii="Times New Roman" w:hAnsi="Times New Roman" w:cs="Times New Roman"/>
          <w:sz w:val="22"/>
          <w:szCs w:val="22"/>
        </w:rPr>
        <w:t>Yukarıdaki yükümlülüklerin ihlal edilmesi durumunda idari yaptırımlar söz konusu olabilir. Ticaret Bakanlığı, e-ticaret mevzuatına uyumu denetlemekte ve gerekli hallerde yaptırım uygulamaktadır. Nitekim yeni düzenlemeler, platform-satıcı sözleşmelerinde (aracılık sözleşmesi) bu konuların açıkça düzenlenmesini şart koşmuştur. Aracılık sözleşmesinin asgari içeriğinde, satıcının elde edilen verilere sözleşme sona erdikten sonra erişip erişemeyeceği ve ne kadar süreyle erişebileceğine dair bilgilere yer verilmesi zorunludur. Bu sayede satıcılar, platform üzerindeki faaliyetlerinden doğan verilerin geleceği konusunda sözleşme aşamasında bilgi sahibi olmaktadır.</w:t>
      </w:r>
    </w:p>
    <w:p w14:paraId="434D5B91" w14:textId="77777777" w:rsidR="002059CA" w:rsidRPr="00EB2DC8" w:rsidRDefault="002059CA" w:rsidP="002059CA">
      <w:pPr>
        <w:jc w:val="both"/>
        <w:rPr>
          <w:rFonts w:ascii="Times New Roman" w:hAnsi="Times New Roman" w:cs="Times New Roman"/>
          <w:b/>
          <w:bCs/>
          <w:sz w:val="22"/>
          <w:szCs w:val="22"/>
        </w:rPr>
      </w:pPr>
      <w:r w:rsidRPr="00EB2DC8">
        <w:rPr>
          <w:rFonts w:ascii="Times New Roman" w:hAnsi="Times New Roman" w:cs="Times New Roman"/>
          <w:b/>
          <w:bCs/>
          <w:sz w:val="22"/>
          <w:szCs w:val="22"/>
        </w:rPr>
        <w:t>Kişisel Verilerin Korunması Rejimi</w:t>
      </w:r>
    </w:p>
    <w:p w14:paraId="09BEB221" w14:textId="77777777" w:rsidR="002059CA" w:rsidRPr="00EB2DC8" w:rsidRDefault="002059CA" w:rsidP="002059CA">
      <w:pPr>
        <w:jc w:val="both"/>
        <w:rPr>
          <w:rFonts w:ascii="Times New Roman" w:hAnsi="Times New Roman" w:cs="Times New Roman"/>
          <w:sz w:val="22"/>
          <w:szCs w:val="22"/>
        </w:rPr>
      </w:pPr>
      <w:r w:rsidRPr="00EB2DC8">
        <w:rPr>
          <w:rFonts w:ascii="Times New Roman" w:hAnsi="Times New Roman" w:cs="Times New Roman"/>
          <w:sz w:val="22"/>
          <w:szCs w:val="22"/>
        </w:rPr>
        <w:t>6698 sayılı Kişisel Verilerin Korunması Kanunu (“</w:t>
      </w:r>
      <w:r w:rsidRPr="00EB2DC8">
        <w:rPr>
          <w:rFonts w:ascii="Times New Roman" w:hAnsi="Times New Roman" w:cs="Times New Roman"/>
          <w:b/>
          <w:bCs/>
          <w:sz w:val="22"/>
          <w:szCs w:val="22"/>
        </w:rPr>
        <w:t>KVKK</w:t>
      </w:r>
      <w:r w:rsidRPr="00EB2DC8">
        <w:rPr>
          <w:rFonts w:ascii="Times New Roman" w:hAnsi="Times New Roman" w:cs="Times New Roman"/>
          <w:sz w:val="22"/>
          <w:szCs w:val="22"/>
        </w:rPr>
        <w:t xml:space="preserve">”) uyarınca, e-ticaret platformları “veri sorumlusu” sıfatıyla hareket eder. Bu platformlar, kullanıcı ve müşterilere ait kişisel verileri işlerken </w:t>
      </w:r>
      <w:proofErr w:type="spellStart"/>
      <w:r w:rsidRPr="00EB2DC8">
        <w:rPr>
          <w:rFonts w:ascii="Times New Roman" w:hAnsi="Times New Roman" w:cs="Times New Roman"/>
          <w:sz w:val="22"/>
          <w:szCs w:val="22"/>
        </w:rPr>
        <w:t>KVKK’daki</w:t>
      </w:r>
      <w:proofErr w:type="spellEnd"/>
      <w:r w:rsidRPr="00EB2DC8">
        <w:rPr>
          <w:rFonts w:ascii="Times New Roman" w:hAnsi="Times New Roman" w:cs="Times New Roman"/>
          <w:sz w:val="22"/>
          <w:szCs w:val="22"/>
        </w:rPr>
        <w:t xml:space="preserve"> temel ilkelere ve veri işleme şartlarına uymakla yükümlüdür. Öncelikle KVKK m.4’te düzenlenen genel ilkelere göre, kişisel veriler hukuka ve dürüstlük kurallarına uygun, doğru ve gerektiğinde güncel, belirli, açık ve meşru amaçlar için işlenmeli; işlendikleri amaçla bağlantılı, sınırlı ve ölçülü olmalıdır. Bu kapsamda bir e-ticaret platformu, kullanıcıların ad, iletişim, teslimat bilgileri, alışveriş geçmişi, ödeme bilgileri gibi verilerini sadece ilgili işlemlerin gerçekleştirilmesi ve iyileştirilmesi amacıyla kullanmalıdır. Bunların dışında, farklı amaçlar (özellikle reklam, pazarlama veya profilleme gibi) için kişisel veri işlemek istiyorsa KVKK m.5 ve 6’daki işleme şartlarından birine dayanmak zorundadır. Örneğin pazarlama amaçlı elektronik ileti göndermek için ilgili kişinin açık rızasının alınması gerekmektedir; aksine bir durumda bu tür işlemler hukuka aykırı hale gelir.</w:t>
      </w:r>
    </w:p>
    <w:p w14:paraId="73C45767" w14:textId="77777777" w:rsidR="002059CA" w:rsidRPr="00EB2DC8" w:rsidRDefault="002059CA" w:rsidP="002059CA">
      <w:pPr>
        <w:jc w:val="both"/>
        <w:rPr>
          <w:rFonts w:ascii="Times New Roman" w:hAnsi="Times New Roman" w:cs="Times New Roman"/>
          <w:sz w:val="22"/>
          <w:szCs w:val="22"/>
        </w:rPr>
      </w:pPr>
      <w:r w:rsidRPr="00EB2DC8">
        <w:rPr>
          <w:rFonts w:ascii="Times New Roman" w:hAnsi="Times New Roman" w:cs="Times New Roman"/>
          <w:sz w:val="22"/>
          <w:szCs w:val="22"/>
        </w:rPr>
        <w:t>KVK Kurulu’nun 2020 tarihli Amazon Türkiye kararında, açık rızaya dayanmayan veri aktarımı ve teknik-idari tedbir eksiklikleri nedeniyle idari para cezası uygulanmıştır. Bu karar, platformların kişisel veri işleme faaliyetlerini mevzuata tam uyum içinde yürütmesinin zorunluluğunu açık biçimde ortaya koymaktadır.</w:t>
      </w:r>
    </w:p>
    <w:p w14:paraId="4E5A0C31" w14:textId="77777777" w:rsidR="002059CA" w:rsidRPr="00EB2DC8" w:rsidRDefault="002059CA" w:rsidP="002059CA">
      <w:pPr>
        <w:jc w:val="both"/>
        <w:rPr>
          <w:rFonts w:ascii="Times New Roman" w:hAnsi="Times New Roman" w:cs="Times New Roman"/>
          <w:b/>
          <w:bCs/>
          <w:sz w:val="22"/>
          <w:szCs w:val="22"/>
        </w:rPr>
      </w:pPr>
      <w:r w:rsidRPr="00EB2DC8">
        <w:rPr>
          <w:rFonts w:ascii="Times New Roman" w:hAnsi="Times New Roman" w:cs="Times New Roman"/>
          <w:b/>
          <w:bCs/>
          <w:sz w:val="22"/>
          <w:szCs w:val="22"/>
        </w:rPr>
        <w:t>Ticari Sırlar ve Rekabet Hukuku Bağlantısı</w:t>
      </w:r>
    </w:p>
    <w:p w14:paraId="6F92A4B7" w14:textId="77777777" w:rsidR="002059CA" w:rsidRPr="00EB2DC8" w:rsidRDefault="002059CA" w:rsidP="002059CA">
      <w:pPr>
        <w:jc w:val="both"/>
        <w:rPr>
          <w:rFonts w:ascii="Times New Roman" w:hAnsi="Times New Roman" w:cs="Times New Roman"/>
          <w:sz w:val="22"/>
          <w:szCs w:val="22"/>
        </w:rPr>
      </w:pPr>
      <w:r w:rsidRPr="00EB2DC8">
        <w:rPr>
          <w:rFonts w:ascii="Times New Roman" w:hAnsi="Times New Roman" w:cs="Times New Roman"/>
          <w:sz w:val="22"/>
          <w:szCs w:val="22"/>
        </w:rPr>
        <w:t>E-ticaret platformlarında kullanılan algoritmalar, toplanan veriler ve iş modelleri sıklıkla ticari sır kapsamına girebilir. Ticari sır, genel olarak sahibine ekonomik fayda sağlayan, kamu tarafından bilinmeyen ve gizli tutulan bilgi anlamına gelir. Bu tanıma göre bir platformun içerik sıralama algoritması veya fiyatlandırma stratejisi kendi ticari sırrı olarak korunabilir. Benzer şekilde, platform üzerinde faaliyet gösteren bir satıcının tedarikçi bilgileri, fiyatlandırma algoritmaları, kampanya stratejileri ya da müşteri listeleri de onun ticari sırrını oluşturabilir.</w:t>
      </w:r>
    </w:p>
    <w:p w14:paraId="67C5F66A" w14:textId="77777777" w:rsidR="002059CA" w:rsidRPr="00EB2DC8" w:rsidRDefault="002059CA" w:rsidP="002059CA">
      <w:pPr>
        <w:jc w:val="both"/>
        <w:rPr>
          <w:rFonts w:ascii="Times New Roman" w:hAnsi="Times New Roman" w:cs="Times New Roman"/>
          <w:sz w:val="22"/>
          <w:szCs w:val="22"/>
        </w:rPr>
      </w:pPr>
      <w:r w:rsidRPr="00EB2DC8">
        <w:rPr>
          <w:rFonts w:ascii="Times New Roman" w:hAnsi="Times New Roman" w:cs="Times New Roman"/>
          <w:sz w:val="22"/>
          <w:szCs w:val="22"/>
        </w:rPr>
        <w:t>Türk hukukunda ticari sır kavramına ilişkin genel bir tanım bulunmamakla birlikte, çeşitli mevzuat hükümleri ve içtihatlar yoluyla ticari sırlar korunmaktadır. Özellikle haksız rekabet ve ceza hukuku, ticari sırların gizliliğini teminat altına alır. Örneğin, 6102 sayılı Türk Ticaret Kanunu (“</w:t>
      </w:r>
      <w:r w:rsidRPr="00EB2DC8">
        <w:rPr>
          <w:rFonts w:ascii="Times New Roman" w:hAnsi="Times New Roman" w:cs="Times New Roman"/>
          <w:b/>
          <w:bCs/>
          <w:sz w:val="22"/>
          <w:szCs w:val="22"/>
        </w:rPr>
        <w:t>TTK</w:t>
      </w:r>
      <w:r w:rsidRPr="00EB2DC8">
        <w:rPr>
          <w:rFonts w:ascii="Times New Roman" w:hAnsi="Times New Roman" w:cs="Times New Roman"/>
          <w:sz w:val="22"/>
          <w:szCs w:val="22"/>
        </w:rPr>
        <w:t>”) m.55/1-(b)(3), bir işletmenin çalışanlarının veya vekillerinin işvereninin üretim ve iş sırlarını ifşa etmeye veya ele geçirmeye yönlendirilmesini haksız rekabet fiili olarak saymıştır Ayrıca 5237 sayılı Türk Ceza Kanunu (“</w:t>
      </w:r>
      <w:r w:rsidRPr="00EB2DC8">
        <w:rPr>
          <w:rFonts w:ascii="Times New Roman" w:hAnsi="Times New Roman" w:cs="Times New Roman"/>
          <w:b/>
          <w:bCs/>
          <w:sz w:val="22"/>
          <w:szCs w:val="22"/>
        </w:rPr>
        <w:t>TCK</w:t>
      </w:r>
      <w:r w:rsidRPr="00EB2DC8">
        <w:rPr>
          <w:rFonts w:ascii="Times New Roman" w:hAnsi="Times New Roman" w:cs="Times New Roman"/>
          <w:sz w:val="22"/>
          <w:szCs w:val="22"/>
        </w:rPr>
        <w:t>”) m.239, ticari sır, bankacılık sırrı veya müşteri sırrı niteliğindeki bilgilerin hukuka aykırı şekilde ifşa edilmesini cezai yaptırıma bağlamıştır. Bu hükümler, şirketlerin gizli bilgilerinin rakipler tarafından ele geçirilmesini veya ifşa edilmesini engelleyerek rekabetçi dengeyi korumayı amaçlar.</w:t>
      </w:r>
    </w:p>
    <w:p w14:paraId="308B3D1D" w14:textId="35F50CC4" w:rsidR="002059CA" w:rsidRPr="00EB2DC8" w:rsidRDefault="002059CA" w:rsidP="002059CA">
      <w:pPr>
        <w:jc w:val="both"/>
        <w:rPr>
          <w:rFonts w:ascii="Times New Roman" w:hAnsi="Times New Roman" w:cs="Times New Roman"/>
          <w:sz w:val="22"/>
          <w:szCs w:val="22"/>
        </w:rPr>
      </w:pPr>
      <w:r w:rsidRPr="00EB2DC8">
        <w:rPr>
          <w:rFonts w:ascii="Times New Roman" w:hAnsi="Times New Roman" w:cs="Times New Roman"/>
          <w:sz w:val="22"/>
          <w:szCs w:val="22"/>
        </w:rPr>
        <w:lastRenderedPageBreak/>
        <w:t>Rekabet hukuku ise dijital platformların veri ve bilgi üstünlüğünü kötüye kullanmasını engellemek için devreye girer. 4054 sayılı Rekabetin Korunması Hakkında Kanun’un (“</w:t>
      </w:r>
      <w:r w:rsidRPr="00EB2DC8">
        <w:rPr>
          <w:rFonts w:ascii="Times New Roman" w:hAnsi="Times New Roman" w:cs="Times New Roman"/>
          <w:b/>
          <w:bCs/>
          <w:sz w:val="22"/>
          <w:szCs w:val="22"/>
        </w:rPr>
        <w:t>Rekabet Kanunu</w:t>
      </w:r>
      <w:r w:rsidRPr="00EB2DC8">
        <w:rPr>
          <w:rFonts w:ascii="Times New Roman" w:hAnsi="Times New Roman" w:cs="Times New Roman"/>
          <w:sz w:val="22"/>
          <w:szCs w:val="22"/>
        </w:rPr>
        <w:t xml:space="preserve">”) 6. </w:t>
      </w:r>
      <w:r w:rsidR="00775ACD" w:rsidRPr="00EB2DC8">
        <w:rPr>
          <w:rFonts w:ascii="Times New Roman" w:hAnsi="Times New Roman" w:cs="Times New Roman"/>
          <w:sz w:val="22"/>
          <w:szCs w:val="22"/>
        </w:rPr>
        <w:t>M</w:t>
      </w:r>
      <w:r w:rsidRPr="00EB2DC8">
        <w:rPr>
          <w:rFonts w:ascii="Times New Roman" w:hAnsi="Times New Roman" w:cs="Times New Roman"/>
          <w:sz w:val="22"/>
          <w:szCs w:val="22"/>
        </w:rPr>
        <w:t xml:space="preserve">addesi, hâkim durumdaki bir teşebbüsün bu konumunu kötüye kullanarak rekabeti bozmasını yasaklamaktadır. Büyük e-ticaret platformları, ellerindeki veri gücünü kullanarak rakiplerini dışlayıcı veya kendi lehine avantaj sağlayıcı davranışlar sergilerse bu hüküm kapsamında incelemeye tabi olabilir. Örneğin, bir pazaryeri platformunun bünyesindeki bağımsız satıcıların satış ve talep verilerini toplayıp bunları kendi markalı ürünlerinin üretiminde veya pazarlamasında kullanarak satıcılarla rekabette öne geçmesi haksız bir durum yaratır. Nitekim yürürlükteki e-ticaret yönetmeliği de </w:t>
      </w:r>
      <w:proofErr w:type="spellStart"/>
      <w:r w:rsidRPr="00EB2DC8">
        <w:rPr>
          <w:rFonts w:ascii="Times New Roman" w:hAnsi="Times New Roman" w:cs="Times New Roman"/>
          <w:sz w:val="22"/>
          <w:szCs w:val="22"/>
        </w:rPr>
        <w:t>ETAHS’nin</w:t>
      </w:r>
      <w:proofErr w:type="spellEnd"/>
      <w:r w:rsidRPr="00EB2DC8">
        <w:rPr>
          <w:rFonts w:ascii="Times New Roman" w:hAnsi="Times New Roman" w:cs="Times New Roman"/>
          <w:sz w:val="22"/>
          <w:szCs w:val="22"/>
        </w:rPr>
        <w:t xml:space="preserve"> aracılık hizmetinden elde ettiği verileri, kendisinin satıcı konumunda olduğu durumda diğer satıcılarla rekabet ederken kullanmasını açıkça yasaklamıştır. Bu tür bir davranış, aynı zamanda rekabet otoritelerince hâkim durumun kötüye kullanılması olarak değerlendirilebilir.</w:t>
      </w:r>
    </w:p>
    <w:p w14:paraId="68B45DFF" w14:textId="77777777" w:rsidR="002059CA" w:rsidRPr="00EB2DC8" w:rsidRDefault="002059CA" w:rsidP="002059CA">
      <w:pPr>
        <w:jc w:val="both"/>
        <w:rPr>
          <w:rFonts w:ascii="Times New Roman" w:hAnsi="Times New Roman" w:cs="Times New Roman"/>
          <w:b/>
          <w:bCs/>
          <w:sz w:val="22"/>
          <w:szCs w:val="22"/>
        </w:rPr>
      </w:pPr>
      <w:r w:rsidRPr="00EB2DC8">
        <w:rPr>
          <w:rFonts w:ascii="Times New Roman" w:hAnsi="Times New Roman" w:cs="Times New Roman"/>
          <w:b/>
          <w:bCs/>
          <w:sz w:val="22"/>
          <w:szCs w:val="22"/>
        </w:rPr>
        <w:t>Platform–Satıcı İlişkisinde Veri Mülkiyeti ve Erişim Hakkı</w:t>
      </w:r>
    </w:p>
    <w:p w14:paraId="6A86DF05" w14:textId="77777777" w:rsidR="002059CA" w:rsidRPr="00EB2DC8" w:rsidRDefault="002059CA" w:rsidP="002059CA">
      <w:pPr>
        <w:jc w:val="both"/>
        <w:rPr>
          <w:rFonts w:ascii="Times New Roman" w:hAnsi="Times New Roman" w:cs="Times New Roman"/>
          <w:sz w:val="22"/>
          <w:szCs w:val="22"/>
        </w:rPr>
      </w:pPr>
      <w:r w:rsidRPr="00EB2DC8">
        <w:rPr>
          <w:rFonts w:ascii="Times New Roman" w:hAnsi="Times New Roman" w:cs="Times New Roman"/>
          <w:sz w:val="22"/>
          <w:szCs w:val="22"/>
        </w:rPr>
        <w:t>“Veri mülkiyeti” kavramı hukuken net tanımlanmamış olmakla birlikte, e-ticaret platformları ile satıcılar arasındaki anlaşmazlıklarda sıkça gündeme gelmektedir. Bir satış işlemi sonucunda ortaya çıkan çeşitli veriler üzerinde kimin hak sahibi olduğu sorusu önemlidir. Örneğin bir pazaryeri üzerinden binlerce müşteriye ulaşan bir satıcı, bu müşterilere ait verilerin kendi ticari portföyünün parçası olduğunu düşünebilir. Öte yandan platform, altyapısını kullanarak oluşturulan tüm işlem verilerinin (örneğin site trafiği, müşteri davranışları, satış istatistikleri vb.) kendisine ait bir veri tabanı oluşturduğunu ve bunun üzerinde münhasır hakka sahip olduğunu ileri sürebilir. Hukukumuzda kişisel veriler bizzat ilgili kişiye ait olmakla birlikte, kişisel veri niteliği taşımayan ticari veriler bakımından mutlak bir mülkiyet hakkından söz etmek güçtür. Bu tür veriler, ancak fikri mülkiyet hukuku (örneğin özgün bir veri tabanı eserinin telif hakkı) veya sözleşme hükümleri ile korunabilir. Örneğin Avrupa Birliği hukukunda özgün veri derlemeleri 96/9/EC sayılı Veri Tabanı Direktifi ile korunurken, Türk hukukunda da Fikir ve Sanat Eserleri Kanunu kapsamında yeterli seviyede özgünlük taşıyan veri tabanları eser kabul edilerek korunabilir. Ancak ham ticari veriler bakımından, mülkiyet kavramından ziyade erişim hakkı ve kullanım yetkisi tartışmaları öne çıkmaktadır.</w:t>
      </w:r>
    </w:p>
    <w:p w14:paraId="5326A56C" w14:textId="77777777" w:rsidR="002059CA" w:rsidRPr="00EB2DC8" w:rsidRDefault="002059CA" w:rsidP="002059CA">
      <w:pPr>
        <w:jc w:val="both"/>
        <w:rPr>
          <w:rFonts w:ascii="Times New Roman" w:hAnsi="Times New Roman" w:cs="Times New Roman"/>
          <w:sz w:val="22"/>
          <w:szCs w:val="22"/>
        </w:rPr>
      </w:pPr>
      <w:r w:rsidRPr="00EB2DC8">
        <w:rPr>
          <w:rFonts w:ascii="Times New Roman" w:hAnsi="Times New Roman" w:cs="Times New Roman"/>
          <w:sz w:val="22"/>
          <w:szCs w:val="22"/>
        </w:rPr>
        <w:t xml:space="preserve">Son düzenlemeler, platform–satıcı ilişkisinde veri erişimine dair dengeleyici kurallar getirmiştir. Yukarıda bahsedildiği üzere, orta ve büyük ölçekli platformlar satıcılara kendi faaliyetlerinden üretilen temel verileri aktarmakla yükümlüdür (satış, iade, değerlendirme verileri gibi). Bu hüküm, satıcıların kendi ticari faaliyetlerine ilişkin verilere ulaşımını bir nevi hak olarak tanımaktadır. Böylece “veri mülkiyeti” tartışması, pratikte </w:t>
      </w:r>
      <w:r w:rsidRPr="00EB2DC8">
        <w:rPr>
          <w:rFonts w:ascii="Times New Roman" w:hAnsi="Times New Roman" w:cs="Times New Roman"/>
          <w:b/>
          <w:bCs/>
          <w:sz w:val="22"/>
          <w:szCs w:val="22"/>
        </w:rPr>
        <w:t>“veriye erişim hakkı”</w:t>
      </w:r>
      <w:r w:rsidRPr="00EB2DC8">
        <w:rPr>
          <w:rFonts w:ascii="Times New Roman" w:hAnsi="Times New Roman" w:cs="Times New Roman"/>
          <w:sz w:val="22"/>
          <w:szCs w:val="22"/>
        </w:rPr>
        <w:t xml:space="preserve"> şeklinde çözümlenmeye çalışılmaktadır. Rekabet Kurumu’nun </w:t>
      </w:r>
      <w:proofErr w:type="spellStart"/>
      <w:r w:rsidRPr="00EB2DC8">
        <w:rPr>
          <w:rFonts w:ascii="Times New Roman" w:hAnsi="Times New Roman" w:cs="Times New Roman"/>
          <w:sz w:val="22"/>
          <w:szCs w:val="22"/>
        </w:rPr>
        <w:t>Nadirkitap</w:t>
      </w:r>
      <w:proofErr w:type="spellEnd"/>
      <w:r w:rsidRPr="00EB2DC8">
        <w:rPr>
          <w:rFonts w:ascii="Times New Roman" w:hAnsi="Times New Roman" w:cs="Times New Roman"/>
          <w:sz w:val="22"/>
          <w:szCs w:val="22"/>
        </w:rPr>
        <w:t xml:space="preserve"> kararında da vurguladığı gibi, bir platformun </w:t>
      </w:r>
      <w:proofErr w:type="gramStart"/>
      <w:r w:rsidRPr="00EB2DC8">
        <w:rPr>
          <w:rFonts w:ascii="Times New Roman" w:hAnsi="Times New Roman" w:cs="Times New Roman"/>
          <w:sz w:val="22"/>
          <w:szCs w:val="22"/>
        </w:rPr>
        <w:t>hakim</w:t>
      </w:r>
      <w:proofErr w:type="gramEnd"/>
      <w:r w:rsidRPr="00EB2DC8">
        <w:rPr>
          <w:rFonts w:ascii="Times New Roman" w:hAnsi="Times New Roman" w:cs="Times New Roman"/>
          <w:sz w:val="22"/>
          <w:szCs w:val="22"/>
        </w:rPr>
        <w:t xml:space="preserve"> konumunu kullanarak satıcıların makul surette talep ettiği verileri paylaşmayı reddetmesi hukuka aykırı görülmüştür. Bu yaklaşım, dijital pazarlarda verinin yeni bir güç unsuru olduğunu ve bu gücün tek taraflı olarak kilit altına alınmasının rekabeti zedeleyebileceğini ortaya koymaktadır.</w:t>
      </w:r>
    </w:p>
    <w:p w14:paraId="0CA4FB93" w14:textId="77777777" w:rsidR="002059CA" w:rsidRPr="00EB2DC8" w:rsidRDefault="002059CA" w:rsidP="002059CA">
      <w:pPr>
        <w:jc w:val="both"/>
        <w:rPr>
          <w:rFonts w:ascii="Times New Roman" w:hAnsi="Times New Roman" w:cs="Times New Roman"/>
          <w:b/>
          <w:bCs/>
          <w:sz w:val="22"/>
          <w:szCs w:val="22"/>
        </w:rPr>
      </w:pPr>
      <w:r w:rsidRPr="00EB2DC8">
        <w:rPr>
          <w:rFonts w:ascii="Times New Roman" w:hAnsi="Times New Roman" w:cs="Times New Roman"/>
          <w:b/>
          <w:bCs/>
          <w:sz w:val="22"/>
          <w:szCs w:val="22"/>
        </w:rPr>
        <w:t>Sonuç</w:t>
      </w:r>
    </w:p>
    <w:p w14:paraId="3053F9FD" w14:textId="77777777" w:rsidR="002059CA" w:rsidRPr="00EB2DC8" w:rsidRDefault="002059CA" w:rsidP="002059CA">
      <w:pPr>
        <w:jc w:val="both"/>
        <w:rPr>
          <w:rFonts w:ascii="Times New Roman" w:hAnsi="Times New Roman" w:cs="Times New Roman"/>
          <w:sz w:val="22"/>
          <w:szCs w:val="22"/>
        </w:rPr>
      </w:pPr>
      <w:r w:rsidRPr="00EB2DC8">
        <w:rPr>
          <w:rFonts w:ascii="Times New Roman" w:hAnsi="Times New Roman" w:cs="Times New Roman"/>
          <w:sz w:val="22"/>
          <w:szCs w:val="22"/>
        </w:rPr>
        <w:t xml:space="preserve">Sonuç itibariyle, e-ticaret platformlarında veri paylaşımı, güvenliği ve ticari sırların korunmasına ilişkin hukuk kuralları; kişisel verilerin gizliliğini sağlama, işletmelerin rekabet avantajı getiren gizli bilgilerinin korunması ve dijital piyasalarda adil rekabetin temini hedefleri etrafında şekillenmektedir. Aracı hizmet sağlayıcılar, satıcıların verilerine makul erişimini sağlamak ve bu verileri yalnızca hizmetin ifası amacıyla kullanmakla yükümlüdür. Platformlar KVKK kapsamında kullanıcı verilerinin gizliliğini temin etmeli, açık rıza ve aydınlatma gibi yükümlülüklere titizlikle riayet etmelidir. Ticari sır niteliğindeki bilgiler hem sözleşmesel düzenlemelerle hem de TTK ve TCK hükümleriyle korunurken, rekabet hukuku da piyasanın veriye dayalı tekelleşmeye maruz kalmamasını gözetmektedir. Bu dengeler ışığında hazırlanan güncel mevzuat hükümleri, dijital ekonomide verinin güvenli ve adil kullanımını </w:t>
      </w:r>
      <w:r w:rsidRPr="00EB2DC8">
        <w:rPr>
          <w:rFonts w:ascii="Times New Roman" w:hAnsi="Times New Roman" w:cs="Times New Roman"/>
          <w:sz w:val="22"/>
          <w:szCs w:val="22"/>
        </w:rPr>
        <w:lastRenderedPageBreak/>
        <w:t xml:space="preserve">sağlamaya yöneliktir. Platform–satıcı ilişkisinde şeffaf, öngörülebilir ve kanuna uygun bir veri paylaşım rejiminin </w:t>
      </w:r>
      <w:proofErr w:type="gramStart"/>
      <w:r w:rsidRPr="00EB2DC8">
        <w:rPr>
          <w:rFonts w:ascii="Times New Roman" w:hAnsi="Times New Roman" w:cs="Times New Roman"/>
          <w:sz w:val="22"/>
          <w:szCs w:val="22"/>
        </w:rPr>
        <w:t>oluşturulması,</w:t>
      </w:r>
      <w:proofErr w:type="gramEnd"/>
      <w:r w:rsidRPr="00EB2DC8">
        <w:rPr>
          <w:rFonts w:ascii="Times New Roman" w:hAnsi="Times New Roman" w:cs="Times New Roman"/>
          <w:sz w:val="22"/>
          <w:szCs w:val="22"/>
        </w:rPr>
        <w:t xml:space="preserve"> hem tüketicilerin korunması hem de elektronik ticaret ekosisteminin sürdürülebilir gelişimi açısından büyük önem taşımaktadır.</w:t>
      </w:r>
    </w:p>
    <w:p w14:paraId="6748160C" w14:textId="77777777" w:rsidR="002059CA" w:rsidRPr="00EB2DC8" w:rsidRDefault="002059CA" w:rsidP="002059CA">
      <w:pPr>
        <w:tabs>
          <w:tab w:val="num" w:pos="567"/>
        </w:tabs>
        <w:spacing w:after="0" w:line="276" w:lineRule="auto"/>
        <w:jc w:val="both"/>
        <w:rPr>
          <w:rFonts w:ascii="Times New Roman" w:hAnsi="Times New Roman" w:cs="Times New Roman"/>
          <w:b/>
          <w:bCs/>
          <w:sz w:val="22"/>
          <w:szCs w:val="22"/>
        </w:rPr>
      </w:pPr>
    </w:p>
    <w:p w14:paraId="5AB332B8" w14:textId="24357A0A" w:rsidR="002059CA" w:rsidRPr="00EB2DC8" w:rsidRDefault="00775ACD" w:rsidP="00775ACD">
      <w:pPr>
        <w:tabs>
          <w:tab w:val="num" w:pos="567"/>
        </w:tabs>
        <w:spacing w:after="0" w:line="276" w:lineRule="auto"/>
        <w:jc w:val="right"/>
        <w:rPr>
          <w:rFonts w:ascii="Times New Roman" w:hAnsi="Times New Roman" w:cs="Times New Roman"/>
          <w:b/>
          <w:bCs/>
          <w:sz w:val="22"/>
          <w:szCs w:val="22"/>
        </w:rPr>
      </w:pPr>
      <w:r w:rsidRPr="00EB2DC8">
        <w:rPr>
          <w:rFonts w:ascii="Times New Roman" w:hAnsi="Times New Roman" w:cs="Times New Roman"/>
          <w:b/>
          <w:bCs/>
          <w:sz w:val="22"/>
          <w:szCs w:val="22"/>
        </w:rPr>
        <w:t>7 OCAK 2026</w:t>
      </w:r>
    </w:p>
    <w:p w14:paraId="0763D8C0" w14:textId="77777777" w:rsidR="001357B2" w:rsidRPr="00EB2DC8" w:rsidRDefault="001824D6" w:rsidP="001824D6">
      <w:pPr>
        <w:numPr>
          <w:ilvl w:val="0"/>
          <w:numId w:val="1"/>
        </w:numPr>
        <w:tabs>
          <w:tab w:val="clear" w:pos="720"/>
          <w:tab w:val="num" w:pos="567"/>
        </w:tabs>
        <w:spacing w:after="0" w:line="276" w:lineRule="auto"/>
        <w:ind w:left="0"/>
        <w:jc w:val="both"/>
        <w:rPr>
          <w:rFonts w:ascii="Times New Roman" w:hAnsi="Times New Roman" w:cs="Times New Roman"/>
          <w:b/>
          <w:bCs/>
          <w:sz w:val="22"/>
          <w:szCs w:val="22"/>
        </w:rPr>
      </w:pPr>
      <w:r w:rsidRPr="00EB2DC8">
        <w:rPr>
          <w:rFonts w:ascii="Times New Roman" w:hAnsi="Times New Roman" w:cs="Times New Roman"/>
          <w:b/>
          <w:bCs/>
          <w:sz w:val="22"/>
          <w:szCs w:val="22"/>
        </w:rPr>
        <w:t>ELEKTRONİK TİCARETTE MESAFELİ SÖZLEŞME KURULUMU VE CAYMA HAKKI</w:t>
      </w:r>
    </w:p>
    <w:p w14:paraId="4D2FAD49" w14:textId="77777777" w:rsidR="001357B2" w:rsidRPr="00EB2DC8" w:rsidRDefault="001357B2" w:rsidP="001357B2">
      <w:pPr>
        <w:tabs>
          <w:tab w:val="num" w:pos="567"/>
        </w:tabs>
        <w:spacing w:after="0" w:line="276" w:lineRule="auto"/>
        <w:jc w:val="both"/>
        <w:rPr>
          <w:rFonts w:ascii="Times New Roman" w:hAnsi="Times New Roman" w:cs="Times New Roman"/>
          <w:b/>
          <w:bCs/>
          <w:sz w:val="22"/>
          <w:szCs w:val="22"/>
        </w:rPr>
      </w:pPr>
    </w:p>
    <w:p w14:paraId="29359110" w14:textId="77777777" w:rsidR="001357B2" w:rsidRPr="00EB2DC8" w:rsidRDefault="001357B2" w:rsidP="001357B2">
      <w:pPr>
        <w:pStyle w:val="ListeParagraf"/>
        <w:numPr>
          <w:ilvl w:val="0"/>
          <w:numId w:val="23"/>
        </w:numPr>
        <w:ind w:left="-142"/>
        <w:jc w:val="both"/>
        <w:rPr>
          <w:rFonts w:ascii="Times New Roman" w:hAnsi="Times New Roman" w:cs="Times New Roman"/>
          <w:b/>
          <w:bCs/>
          <w:color w:val="000000" w:themeColor="text1"/>
          <w:sz w:val="22"/>
          <w:szCs w:val="22"/>
        </w:rPr>
      </w:pPr>
      <w:r w:rsidRPr="00EB2DC8">
        <w:rPr>
          <w:rFonts w:ascii="Times New Roman" w:hAnsi="Times New Roman" w:cs="Times New Roman"/>
          <w:b/>
          <w:bCs/>
          <w:color w:val="000000" w:themeColor="text1"/>
          <w:sz w:val="22"/>
          <w:szCs w:val="22"/>
        </w:rPr>
        <w:t>Mesafeli Sözleşmenin Tanımı ve Kurulması</w:t>
      </w:r>
    </w:p>
    <w:p w14:paraId="070AD6ED" w14:textId="77777777" w:rsidR="001357B2" w:rsidRPr="00EB2DC8" w:rsidRDefault="001357B2" w:rsidP="001357B2">
      <w:pPr>
        <w:pStyle w:val="ListeParagraf"/>
        <w:ind w:left="-142"/>
        <w:jc w:val="both"/>
        <w:rPr>
          <w:rFonts w:ascii="Times New Roman" w:hAnsi="Times New Roman" w:cs="Times New Roman"/>
          <w:b/>
          <w:bCs/>
          <w:color w:val="000000" w:themeColor="text1"/>
          <w:sz w:val="22"/>
          <w:szCs w:val="22"/>
        </w:rPr>
      </w:pPr>
    </w:p>
    <w:p w14:paraId="45E3F9D8" w14:textId="77777777" w:rsidR="001357B2" w:rsidRPr="00EB2DC8" w:rsidRDefault="001357B2" w:rsidP="001357B2">
      <w:pPr>
        <w:pStyle w:val="ListeParagraf"/>
        <w:ind w:left="-142"/>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Elektronik ticarette yapılan alışverişler, genellikle mesafeli sözleşme kapsamında değerlendirilir. 6502 sayılı Tüketicinin Korunması Hakkında Kanun’un (“</w:t>
      </w:r>
      <w:r w:rsidRPr="00EB2DC8">
        <w:rPr>
          <w:rFonts w:ascii="Times New Roman" w:hAnsi="Times New Roman" w:cs="Times New Roman"/>
          <w:b/>
          <w:bCs/>
          <w:color w:val="000000" w:themeColor="text1"/>
          <w:sz w:val="22"/>
          <w:szCs w:val="22"/>
        </w:rPr>
        <w:t>TKHK</w:t>
      </w:r>
      <w:r w:rsidRPr="00EB2DC8">
        <w:rPr>
          <w:rFonts w:ascii="Times New Roman" w:hAnsi="Times New Roman" w:cs="Times New Roman"/>
          <w:color w:val="000000" w:themeColor="text1"/>
          <w:sz w:val="22"/>
          <w:szCs w:val="22"/>
        </w:rPr>
        <w:t xml:space="preserve">)” 48. maddesinde mesafeli sözleşme, </w:t>
      </w:r>
      <w:r w:rsidRPr="00EB2DC8">
        <w:rPr>
          <w:rFonts w:ascii="Times New Roman" w:hAnsi="Times New Roman" w:cs="Times New Roman"/>
          <w:i/>
          <w:iCs/>
          <w:color w:val="000000" w:themeColor="text1"/>
          <w:sz w:val="22"/>
          <w:szCs w:val="22"/>
        </w:rPr>
        <w:t>“</w:t>
      </w:r>
      <w:r w:rsidRPr="00EB2DC8">
        <w:rPr>
          <w:rFonts w:ascii="Times New Roman" w:hAnsi="Times New Roman" w:cs="Times New Roman"/>
          <w:i/>
          <w:iCs/>
          <w:color w:val="000000" w:themeColor="text1"/>
          <w:sz w:val="22"/>
          <w:szCs w:val="22"/>
          <w:u w:val="single"/>
        </w:rPr>
        <w:t>satıcı veya sağlayıcı ile tüketicinin eş zamanlı fiziksel varlığı olmaksızın, mal veya hizmetlerin uzaktan pazarlanmasına yönelik oluşturulmuş bir sistem çerçevesinde kurulan sözleşmeler</w:t>
      </w:r>
      <w:r w:rsidRPr="00EB2DC8">
        <w:rPr>
          <w:rFonts w:ascii="Times New Roman" w:hAnsi="Times New Roman" w:cs="Times New Roman"/>
          <w:i/>
          <w:iCs/>
          <w:color w:val="000000" w:themeColor="text1"/>
          <w:sz w:val="22"/>
          <w:szCs w:val="22"/>
        </w:rPr>
        <w:t>”</w:t>
      </w:r>
      <w:r w:rsidRPr="00EB2DC8">
        <w:rPr>
          <w:rFonts w:ascii="Times New Roman" w:hAnsi="Times New Roman" w:cs="Times New Roman"/>
          <w:color w:val="000000" w:themeColor="text1"/>
          <w:sz w:val="22"/>
          <w:szCs w:val="22"/>
        </w:rPr>
        <w:t xml:space="preserve"> şeklinde tanımlanmıştır. Bu tanım gereği, internet, telefon, televizyon gibi iletişim araçlarıyla yapılan ve tarafların fiziken bir araya gelmediği satış işlemleri mesafeli sözleşme sayılır. Mesafeli sözleşmelerin hukuki dayanakları TKHK m.48 ve bu maddeye dayanılarak çıkarılan Mesafeli Sözleşmeler Yönetmeliği’dir (“</w:t>
      </w:r>
      <w:r w:rsidRPr="00EB2DC8">
        <w:rPr>
          <w:rFonts w:ascii="Times New Roman" w:hAnsi="Times New Roman" w:cs="Times New Roman"/>
          <w:b/>
          <w:bCs/>
          <w:color w:val="000000" w:themeColor="text1"/>
          <w:sz w:val="22"/>
          <w:szCs w:val="22"/>
        </w:rPr>
        <w:t>Yönetmelik</w:t>
      </w:r>
      <w:r w:rsidRPr="00EB2DC8">
        <w:rPr>
          <w:rFonts w:ascii="Times New Roman" w:hAnsi="Times New Roman" w:cs="Times New Roman"/>
          <w:color w:val="000000" w:themeColor="text1"/>
          <w:sz w:val="22"/>
          <w:szCs w:val="22"/>
        </w:rPr>
        <w:t>”). Taraflardan birinin tüketici olduğu bu sözleşmelerin kurulabilmesi için TKHK ve Yönetmelik’te öngörülen bazı usul şartlarına uyulması zorunludur.</w:t>
      </w:r>
    </w:p>
    <w:p w14:paraId="55F4B2B4" w14:textId="77777777" w:rsidR="001357B2" w:rsidRPr="00EB2DC8" w:rsidRDefault="001357B2" w:rsidP="001357B2">
      <w:pPr>
        <w:pStyle w:val="ListeParagraf"/>
        <w:ind w:left="-142"/>
        <w:jc w:val="both"/>
        <w:rPr>
          <w:rFonts w:ascii="Times New Roman" w:hAnsi="Times New Roman" w:cs="Times New Roman"/>
          <w:color w:val="000000" w:themeColor="text1"/>
          <w:sz w:val="22"/>
          <w:szCs w:val="22"/>
        </w:rPr>
      </w:pPr>
    </w:p>
    <w:p w14:paraId="27787810" w14:textId="77777777" w:rsidR="001357B2" w:rsidRPr="00EB2DC8" w:rsidRDefault="001357B2" w:rsidP="001357B2">
      <w:pPr>
        <w:pStyle w:val="ListeParagraf"/>
        <w:numPr>
          <w:ilvl w:val="0"/>
          <w:numId w:val="22"/>
        </w:numPr>
        <w:ind w:left="-142"/>
        <w:jc w:val="both"/>
        <w:rPr>
          <w:rFonts w:ascii="Times New Roman" w:hAnsi="Times New Roman" w:cs="Times New Roman"/>
          <w:color w:val="000000" w:themeColor="text1"/>
          <w:sz w:val="22"/>
          <w:szCs w:val="22"/>
        </w:rPr>
      </w:pPr>
      <w:r w:rsidRPr="00EB2DC8">
        <w:rPr>
          <w:rFonts w:ascii="Times New Roman" w:hAnsi="Times New Roman" w:cs="Times New Roman"/>
          <w:b/>
          <w:bCs/>
          <w:color w:val="000000" w:themeColor="text1"/>
          <w:sz w:val="22"/>
          <w:szCs w:val="22"/>
        </w:rPr>
        <w:t>Ön Bilgilendirme Yükümlülüğü:</w:t>
      </w:r>
      <w:r w:rsidRPr="00EB2DC8">
        <w:rPr>
          <w:rFonts w:ascii="Times New Roman" w:hAnsi="Times New Roman" w:cs="Times New Roman"/>
          <w:color w:val="000000" w:themeColor="text1"/>
          <w:sz w:val="22"/>
          <w:szCs w:val="22"/>
        </w:rPr>
        <w:t xml:space="preserve"> </w:t>
      </w:r>
    </w:p>
    <w:p w14:paraId="53A2BB07" w14:textId="77777777" w:rsidR="001357B2" w:rsidRPr="00EB2DC8" w:rsidRDefault="001357B2" w:rsidP="001357B2">
      <w:pPr>
        <w:pStyle w:val="ListeParagraf"/>
        <w:ind w:left="-142"/>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Mesafeli sözleşme kurulmadan önce satıcının (ve aracı hizmet sağlayıcının), tüketiciyi bazı konularda yazılı olarak veya kalıcı veri saklayıcısı aracılığıyla ön bilgilendirmeye tabi tutması gerekir (TKHK m.48/2). Bu yükümlülük, tüketicinin siparişi onaylamadan önce sözleşme koşullarını tam olarak öğrenmesini sağlamaya yöneliktir. Mesafeli Sözleşmeler Yönetmeliği m.5 uyarınca ön bilgilendirme kapsamında sözleşme konusu mal veya hizmetin temel nitelikleri, satıcının kimlik ve iletişim bilgileri, toplam fiyat (vergiler dâhil), varsa tüm teslimat masrafları, ödeme ve teslim şartları, cayma hakkının koşulları ve süresi, şikâyet ve itiraz yolları gibi hususlarda bilgi verilmelidir. Bu bilgiler, en az 12 punto yazı boyutunda, açık ve anlaşılır bir dille ve sözleşmeden ayrı bir ön bilgilendirme formu olarak sunulmalıdır.  Tüketici, kendisine sunulan ön bilgilendirmeyi elektronik ortamda teyit etmeden sözleşme kurulamaz; aksi halde yapılan satış sözleşmesi geçersiz sayılacaktır. Nitekim Yönetmelik, tüketicinin ön bilgilendirmeyi edindiğine dair onay kutusunun işaretlenmesini veya benzeri bir elektronik onayı şart koşar. Ayrıca tüketicinin siparişi onaylamasından hemen önce, siparişin ödeme yükümlülüğü doğurduğu hususu da açıkça belirtilmelidir; bu yapılmadığı takdirde tüketici, verdiği siparişle bağlı değildir.</w:t>
      </w:r>
    </w:p>
    <w:p w14:paraId="24EDE4BF" w14:textId="77777777" w:rsidR="001357B2" w:rsidRPr="00EB2DC8" w:rsidRDefault="001357B2" w:rsidP="001357B2">
      <w:pPr>
        <w:pStyle w:val="ListeParagraf"/>
        <w:ind w:left="-142"/>
        <w:jc w:val="both"/>
        <w:rPr>
          <w:rFonts w:ascii="Times New Roman" w:hAnsi="Times New Roman" w:cs="Times New Roman"/>
          <w:color w:val="000000" w:themeColor="text1"/>
          <w:sz w:val="22"/>
          <w:szCs w:val="22"/>
        </w:rPr>
      </w:pPr>
    </w:p>
    <w:p w14:paraId="556D27C3" w14:textId="77777777" w:rsidR="001357B2" w:rsidRPr="00EB2DC8" w:rsidRDefault="001357B2" w:rsidP="001357B2">
      <w:pPr>
        <w:pStyle w:val="ListeParagraf"/>
        <w:numPr>
          <w:ilvl w:val="0"/>
          <w:numId w:val="22"/>
        </w:numPr>
        <w:ind w:left="-142"/>
        <w:jc w:val="both"/>
        <w:rPr>
          <w:rFonts w:ascii="Times New Roman" w:hAnsi="Times New Roman" w:cs="Times New Roman"/>
          <w:color w:val="000000" w:themeColor="text1"/>
          <w:sz w:val="22"/>
          <w:szCs w:val="22"/>
        </w:rPr>
      </w:pPr>
      <w:r w:rsidRPr="00EB2DC8">
        <w:rPr>
          <w:rFonts w:ascii="Times New Roman" w:hAnsi="Times New Roman" w:cs="Times New Roman"/>
          <w:b/>
          <w:bCs/>
          <w:color w:val="000000" w:themeColor="text1"/>
          <w:sz w:val="22"/>
          <w:szCs w:val="22"/>
        </w:rPr>
        <w:t>Bilgilendirmenin İspatı ve Sonuçları:</w:t>
      </w:r>
      <w:r w:rsidRPr="00EB2DC8">
        <w:rPr>
          <w:rFonts w:ascii="Times New Roman" w:hAnsi="Times New Roman" w:cs="Times New Roman"/>
          <w:color w:val="000000" w:themeColor="text1"/>
          <w:sz w:val="22"/>
          <w:szCs w:val="22"/>
        </w:rPr>
        <w:t xml:space="preserve"> </w:t>
      </w:r>
    </w:p>
    <w:p w14:paraId="579B3C67" w14:textId="77777777" w:rsidR="001357B2" w:rsidRPr="00EB2DC8" w:rsidRDefault="001357B2" w:rsidP="001357B2">
      <w:pPr>
        <w:pStyle w:val="ListeParagraf"/>
        <w:ind w:left="-142"/>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 xml:space="preserve">Tüketiciye ön bilgilerinin verildiğini ispat yükümlülüğü TKHK m.48/4’e göre satıcıya aittir. Ön bilgilendirme yükümlülüğünün gereği gibi yerine getirilmemesi hukuki sonuçlar doğurur. Örneğin satıcı, ek masraf gerektiren bir hizmet hakkında bu ücreti önceden bildirmemişse tüketici bu bedeli ödemek zorunda değildir. Yine cayma hakkı konusunda gereken bilgilendirme yapılmamışsa, tüketici 14 günlük süreyle bağlı kalmaz. Bu durumda cayma hakkı süresi, yasal 14 günlük sürenin bitiminden itibaren bir yıla kadar uzar. Kanun yararı gözeten yargı kararları </w:t>
      </w:r>
      <w:proofErr w:type="gramStart"/>
      <w:r w:rsidRPr="00EB2DC8">
        <w:rPr>
          <w:rFonts w:ascii="Times New Roman" w:hAnsi="Times New Roman" w:cs="Times New Roman"/>
          <w:color w:val="000000" w:themeColor="text1"/>
          <w:sz w:val="22"/>
          <w:szCs w:val="22"/>
        </w:rPr>
        <w:t>da,</w:t>
      </w:r>
      <w:proofErr w:type="gramEnd"/>
      <w:r w:rsidRPr="00EB2DC8">
        <w:rPr>
          <w:rFonts w:ascii="Times New Roman" w:hAnsi="Times New Roman" w:cs="Times New Roman"/>
          <w:color w:val="000000" w:themeColor="text1"/>
          <w:sz w:val="22"/>
          <w:szCs w:val="22"/>
        </w:rPr>
        <w:t xml:space="preserve"> cayma hakkında bilgilendirilmeyen tüketicinin 14 gün sınırlaması olmaksızın daha sonra da cayma hakkını kullanabileceğini vurgulamıştır. Son olarak, mesafeli satış sürecinde aracı hizmet sağlayıcılar (örneğin pazaryeri platformları) da ön bilgilendirmenin yapılması, teyidi ve ispatından satıcı </w:t>
      </w:r>
      <w:proofErr w:type="gramStart"/>
      <w:r w:rsidRPr="00EB2DC8">
        <w:rPr>
          <w:rFonts w:ascii="Times New Roman" w:hAnsi="Times New Roman" w:cs="Times New Roman"/>
          <w:color w:val="000000" w:themeColor="text1"/>
          <w:sz w:val="22"/>
          <w:szCs w:val="22"/>
        </w:rPr>
        <w:t>ile birlikte</w:t>
      </w:r>
      <w:proofErr w:type="gramEnd"/>
      <w:r w:rsidRPr="00EB2DC8">
        <w:rPr>
          <w:rFonts w:ascii="Times New Roman" w:hAnsi="Times New Roman" w:cs="Times New Roman"/>
          <w:color w:val="000000" w:themeColor="text1"/>
          <w:sz w:val="22"/>
          <w:szCs w:val="22"/>
        </w:rPr>
        <w:t xml:space="preserve"> </w:t>
      </w:r>
      <w:proofErr w:type="spellStart"/>
      <w:r w:rsidRPr="00EB2DC8">
        <w:rPr>
          <w:rFonts w:ascii="Times New Roman" w:hAnsi="Times New Roman" w:cs="Times New Roman"/>
          <w:color w:val="000000" w:themeColor="text1"/>
          <w:sz w:val="22"/>
          <w:szCs w:val="22"/>
        </w:rPr>
        <w:t>müteselsilen</w:t>
      </w:r>
      <w:proofErr w:type="spellEnd"/>
      <w:r w:rsidRPr="00EB2DC8">
        <w:rPr>
          <w:rFonts w:ascii="Times New Roman" w:hAnsi="Times New Roman" w:cs="Times New Roman"/>
          <w:color w:val="000000" w:themeColor="text1"/>
          <w:sz w:val="22"/>
          <w:szCs w:val="22"/>
        </w:rPr>
        <w:t xml:space="preserve"> sorumludur. </w:t>
      </w:r>
    </w:p>
    <w:p w14:paraId="79693014" w14:textId="77777777" w:rsidR="001357B2" w:rsidRPr="00EB2DC8" w:rsidRDefault="001357B2" w:rsidP="001357B2">
      <w:pPr>
        <w:pStyle w:val="ListeParagraf"/>
        <w:ind w:left="-142"/>
        <w:jc w:val="both"/>
        <w:rPr>
          <w:rFonts w:ascii="Times New Roman" w:hAnsi="Times New Roman" w:cs="Times New Roman"/>
          <w:color w:val="000000" w:themeColor="text1"/>
          <w:sz w:val="22"/>
          <w:szCs w:val="22"/>
        </w:rPr>
      </w:pPr>
    </w:p>
    <w:p w14:paraId="53666859" w14:textId="77777777" w:rsidR="001357B2" w:rsidRPr="00EB2DC8" w:rsidRDefault="001357B2" w:rsidP="001357B2">
      <w:pPr>
        <w:pStyle w:val="ListeParagraf"/>
        <w:numPr>
          <w:ilvl w:val="0"/>
          <w:numId w:val="23"/>
        </w:numPr>
        <w:ind w:left="-142" w:hanging="709"/>
        <w:jc w:val="both"/>
        <w:rPr>
          <w:rFonts w:ascii="Times New Roman" w:hAnsi="Times New Roman" w:cs="Times New Roman"/>
          <w:b/>
          <w:bCs/>
          <w:color w:val="000000" w:themeColor="text1"/>
          <w:sz w:val="22"/>
          <w:szCs w:val="22"/>
        </w:rPr>
      </w:pPr>
      <w:r w:rsidRPr="00EB2DC8">
        <w:rPr>
          <w:rFonts w:ascii="Times New Roman" w:hAnsi="Times New Roman" w:cs="Times New Roman"/>
          <w:b/>
          <w:bCs/>
          <w:color w:val="000000" w:themeColor="text1"/>
          <w:sz w:val="22"/>
          <w:szCs w:val="22"/>
        </w:rPr>
        <w:t>Mesafeli Sözleşmelerde Cayma Hakkı</w:t>
      </w:r>
    </w:p>
    <w:p w14:paraId="1ABE0C8E" w14:textId="77777777" w:rsidR="001357B2" w:rsidRPr="00EB2DC8" w:rsidRDefault="001357B2" w:rsidP="001357B2">
      <w:pPr>
        <w:pStyle w:val="ListeParagraf"/>
        <w:ind w:left="-142"/>
        <w:jc w:val="both"/>
        <w:rPr>
          <w:rFonts w:ascii="Times New Roman" w:hAnsi="Times New Roman" w:cs="Times New Roman"/>
          <w:b/>
          <w:bCs/>
          <w:color w:val="000000" w:themeColor="text1"/>
          <w:sz w:val="22"/>
          <w:szCs w:val="22"/>
        </w:rPr>
      </w:pPr>
    </w:p>
    <w:p w14:paraId="07F45E7C" w14:textId="77777777" w:rsidR="001357B2" w:rsidRPr="00EB2DC8" w:rsidRDefault="001357B2" w:rsidP="001357B2">
      <w:pPr>
        <w:pStyle w:val="ListeParagraf"/>
        <w:numPr>
          <w:ilvl w:val="0"/>
          <w:numId w:val="22"/>
        </w:numPr>
        <w:ind w:left="-142"/>
        <w:jc w:val="both"/>
        <w:rPr>
          <w:rFonts w:ascii="Times New Roman" w:hAnsi="Times New Roman" w:cs="Times New Roman"/>
          <w:color w:val="000000" w:themeColor="text1"/>
          <w:sz w:val="22"/>
          <w:szCs w:val="22"/>
        </w:rPr>
      </w:pPr>
      <w:r w:rsidRPr="00EB2DC8">
        <w:rPr>
          <w:rFonts w:ascii="Times New Roman" w:hAnsi="Times New Roman" w:cs="Times New Roman"/>
          <w:b/>
          <w:bCs/>
          <w:color w:val="000000" w:themeColor="text1"/>
          <w:sz w:val="22"/>
          <w:szCs w:val="22"/>
        </w:rPr>
        <w:lastRenderedPageBreak/>
        <w:t>Cayma Hakkının Kapsamı ve Süresi:</w:t>
      </w:r>
      <w:r w:rsidRPr="00EB2DC8">
        <w:rPr>
          <w:rFonts w:ascii="Times New Roman" w:hAnsi="Times New Roman" w:cs="Times New Roman"/>
          <w:color w:val="000000" w:themeColor="text1"/>
          <w:sz w:val="22"/>
          <w:szCs w:val="22"/>
        </w:rPr>
        <w:t xml:space="preserve"> </w:t>
      </w:r>
    </w:p>
    <w:p w14:paraId="44D965AE" w14:textId="77777777" w:rsidR="001357B2" w:rsidRPr="00EB2DC8" w:rsidRDefault="001357B2" w:rsidP="001357B2">
      <w:pPr>
        <w:pStyle w:val="ListeParagraf"/>
        <w:ind w:left="-142"/>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 xml:space="preserve">Mesafeli sözleşmelerde tüketicinin cayma hakkı, </w:t>
      </w:r>
      <w:proofErr w:type="spellStart"/>
      <w:r w:rsidRPr="00EB2DC8">
        <w:rPr>
          <w:rFonts w:ascii="Times New Roman" w:hAnsi="Times New Roman" w:cs="Times New Roman"/>
          <w:color w:val="000000" w:themeColor="text1"/>
          <w:sz w:val="22"/>
          <w:szCs w:val="22"/>
        </w:rPr>
        <w:t>TKHK’nin</w:t>
      </w:r>
      <w:proofErr w:type="spellEnd"/>
      <w:r w:rsidRPr="00EB2DC8">
        <w:rPr>
          <w:rFonts w:ascii="Times New Roman" w:hAnsi="Times New Roman" w:cs="Times New Roman"/>
          <w:color w:val="000000" w:themeColor="text1"/>
          <w:sz w:val="22"/>
          <w:szCs w:val="22"/>
        </w:rPr>
        <w:t xml:space="preserve"> 48. maddesi ile tanınan en önemli tüketici haklarından biridir. Kanun’un 48/4. fıkrasına göre </w:t>
      </w:r>
      <w:r w:rsidRPr="00EB2DC8">
        <w:rPr>
          <w:rFonts w:ascii="Times New Roman" w:hAnsi="Times New Roman" w:cs="Times New Roman"/>
          <w:i/>
          <w:iCs/>
          <w:color w:val="000000" w:themeColor="text1"/>
          <w:sz w:val="22"/>
          <w:szCs w:val="22"/>
        </w:rPr>
        <w:t>“Tüketici, on dört gün içinde herhangi bir gerekçe göstermeksizin ve cezai şart ödemeksizin sözleşmeden cayma hakkına sahiptir.”</w:t>
      </w:r>
      <w:r w:rsidRPr="00EB2DC8">
        <w:rPr>
          <w:rFonts w:ascii="Times New Roman" w:hAnsi="Times New Roman" w:cs="Times New Roman"/>
          <w:color w:val="000000" w:themeColor="text1"/>
          <w:sz w:val="22"/>
          <w:szCs w:val="22"/>
        </w:rPr>
        <w:t>. Bu süre, mal satışlarında tüketicinin veya onun belirlediği üçüncü kişinin malı teslim aldığı günden itibaren; hizmet sözleşmelerinde ise sözleşmenin kurulduğu günden itibaren başlar. Tüketici, mesafeli sözleşme kurulmasından malın teslimine kadar geçen sürede de cayma hakkını her zaman kullanabilir. Cayma bildiriminin 14 günlük süre içinde satıcı veya sağlayıcıya yöneltilmiş olması yeterlidir; bildirimin bu süre zarfında yapılması halinde tüketici herhangi bir gerekçe sunmak zorunda değildir. Eğer satıcı, tüketiciyi cayma hakkı konusunda usulüne uygun bilgilendirmemişse, 14 günlük süre başlamaz; tüketici bu durumda cayma hakkını kullanmak için süre kısıtlamasına tabi değildir ve en geç normal sürenin bitiminden itibaren bir yıl içinde cayma hakkını kullanabilir (TKHK m.48/4). Bununla paralel olarak Yargıtay, bir kararında cayma hakkı konusunda eksik bilgilendirme varsa tüketicinin 14 gün geçtikten sonra da sözleşmeden dönebileceğini belirtmiştir.</w:t>
      </w:r>
    </w:p>
    <w:p w14:paraId="631EAB9C" w14:textId="77777777" w:rsidR="001357B2" w:rsidRPr="00EB2DC8" w:rsidRDefault="001357B2" w:rsidP="001357B2">
      <w:pPr>
        <w:pStyle w:val="ListeParagraf"/>
        <w:ind w:left="-142"/>
        <w:jc w:val="both"/>
        <w:rPr>
          <w:rFonts w:ascii="Times New Roman" w:hAnsi="Times New Roman" w:cs="Times New Roman"/>
          <w:color w:val="000000" w:themeColor="text1"/>
          <w:sz w:val="22"/>
          <w:szCs w:val="22"/>
        </w:rPr>
      </w:pPr>
    </w:p>
    <w:p w14:paraId="2AAA72FD" w14:textId="77777777" w:rsidR="001357B2" w:rsidRPr="00EB2DC8" w:rsidRDefault="001357B2" w:rsidP="001357B2">
      <w:pPr>
        <w:pStyle w:val="ListeParagraf"/>
        <w:numPr>
          <w:ilvl w:val="0"/>
          <w:numId w:val="22"/>
        </w:numPr>
        <w:ind w:left="-142"/>
        <w:jc w:val="both"/>
        <w:rPr>
          <w:rFonts w:ascii="Times New Roman" w:hAnsi="Times New Roman" w:cs="Times New Roman"/>
          <w:color w:val="000000" w:themeColor="text1"/>
          <w:sz w:val="22"/>
          <w:szCs w:val="22"/>
        </w:rPr>
      </w:pPr>
      <w:r w:rsidRPr="00EB2DC8">
        <w:rPr>
          <w:rFonts w:ascii="Times New Roman" w:hAnsi="Times New Roman" w:cs="Times New Roman"/>
          <w:b/>
          <w:bCs/>
          <w:color w:val="000000" w:themeColor="text1"/>
          <w:sz w:val="22"/>
          <w:szCs w:val="22"/>
        </w:rPr>
        <w:t>Cayma Hakkının Kullanılması:</w:t>
      </w:r>
      <w:r w:rsidRPr="00EB2DC8">
        <w:rPr>
          <w:rFonts w:ascii="Times New Roman" w:hAnsi="Times New Roman" w:cs="Times New Roman"/>
          <w:color w:val="000000" w:themeColor="text1"/>
          <w:sz w:val="22"/>
          <w:szCs w:val="22"/>
        </w:rPr>
        <w:t xml:space="preserve"> </w:t>
      </w:r>
    </w:p>
    <w:p w14:paraId="680A1C4A" w14:textId="77777777" w:rsidR="001357B2" w:rsidRPr="00EB2DC8" w:rsidRDefault="001357B2" w:rsidP="001357B2">
      <w:pPr>
        <w:pStyle w:val="ListeParagraf"/>
        <w:ind w:left="-142"/>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 xml:space="preserve">Tüketici, cayma kararını satıcıya yöneltirken bunu yazılı olarak veya kalıcı veri saklayıcısı ile (örneğin e-posta, SMS, web formu vb.) bildirmelidir. Telefon araması yoluyla cayma bildirimi, ispat güçlüğü ve yasal dayanağı olmaması nedeniyle geçerli görülmemektedir. Cayma beyanının şekli konusunda yönetmelik ekinde bir örnek form bulunsa da bu formun kullanımı zorunlu değildir; tüketici aynı bilgileri içeren kendi beyanıyla da cayma hakkını kullanabilir. Cayma hakkını kullanan tüketici, aldığı malı satıcıya geri göndermekle yükümlüdür. Mevzuata göre tüketici, cayma bildirimini yaptıktan sonra en geç 10 gün içinde ürünü satıcıya geri iade etmelidir. Tüketicinin iade edeceği malı, mümkün olduğunca orijinal ambalajıyla, eksiksiz ve hasarsız olarak göndermesi, olası uyuşmazlıkları önlemek açısından önemlidir. Nitekim yargı kararları </w:t>
      </w:r>
      <w:proofErr w:type="gramStart"/>
      <w:r w:rsidRPr="00EB2DC8">
        <w:rPr>
          <w:rFonts w:ascii="Times New Roman" w:hAnsi="Times New Roman" w:cs="Times New Roman"/>
          <w:color w:val="000000" w:themeColor="text1"/>
          <w:sz w:val="22"/>
          <w:szCs w:val="22"/>
        </w:rPr>
        <w:t>da,</w:t>
      </w:r>
      <w:proofErr w:type="gramEnd"/>
      <w:r w:rsidRPr="00EB2DC8">
        <w:rPr>
          <w:rFonts w:ascii="Times New Roman" w:hAnsi="Times New Roman" w:cs="Times New Roman"/>
          <w:color w:val="000000" w:themeColor="text1"/>
          <w:sz w:val="22"/>
          <w:szCs w:val="22"/>
        </w:rPr>
        <w:t xml:space="preserve"> tüketicinin ürünü ilk teslim aldığı duruma en yakın halde iade etmesinin, taraflar arasındaki menfaat dengesine uygun olacağını vurgulamaktadır.</w:t>
      </w:r>
    </w:p>
    <w:p w14:paraId="66EC2E8D" w14:textId="77777777" w:rsidR="001357B2" w:rsidRPr="00EB2DC8" w:rsidRDefault="001357B2" w:rsidP="001357B2">
      <w:pPr>
        <w:pStyle w:val="ListeParagraf"/>
        <w:numPr>
          <w:ilvl w:val="0"/>
          <w:numId w:val="22"/>
        </w:numPr>
        <w:ind w:left="-142"/>
        <w:jc w:val="both"/>
        <w:rPr>
          <w:rFonts w:ascii="Times New Roman" w:hAnsi="Times New Roman" w:cs="Times New Roman"/>
          <w:color w:val="000000" w:themeColor="text1"/>
          <w:sz w:val="22"/>
          <w:szCs w:val="22"/>
        </w:rPr>
      </w:pPr>
      <w:r w:rsidRPr="00EB2DC8">
        <w:rPr>
          <w:rFonts w:ascii="Times New Roman" w:hAnsi="Times New Roman" w:cs="Times New Roman"/>
          <w:b/>
          <w:bCs/>
          <w:color w:val="000000" w:themeColor="text1"/>
          <w:sz w:val="22"/>
          <w:szCs w:val="22"/>
        </w:rPr>
        <w:t>Satıcının İade ve Bedel İadesi Yükümlülükleri:</w:t>
      </w:r>
      <w:r w:rsidRPr="00EB2DC8">
        <w:rPr>
          <w:rFonts w:ascii="Times New Roman" w:hAnsi="Times New Roman" w:cs="Times New Roman"/>
          <w:color w:val="000000" w:themeColor="text1"/>
          <w:sz w:val="22"/>
          <w:szCs w:val="22"/>
        </w:rPr>
        <w:t xml:space="preserve"> </w:t>
      </w:r>
    </w:p>
    <w:p w14:paraId="0DC2D81A" w14:textId="77777777" w:rsidR="001357B2" w:rsidRPr="00EB2DC8" w:rsidRDefault="001357B2" w:rsidP="001357B2">
      <w:pPr>
        <w:pStyle w:val="ListeParagraf"/>
        <w:ind w:left="-142"/>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Tüketicinin cayma bildirimine ulaşan satıcı, bu bildirimin kendisine ulaştığı tarihten itibaren en geç 14 gün içinde tahsil ettiği tüm ödemeleri tüketiciye iade etmek zorundadır. Bedel iadesi yapılırken tüketiciden herhangi bir masraf talep edilemez; satıcı, tüketicinin satın alırken kullandığı ödeme aracına uygun şekilde tek seferde geri ödemeyi gerçekleştirmelidir. Örneğin kredi kartıyla yapılan ödemelerde iade, tüketicinin kredi kartına yapılmalıdır. Satıcının bedel iade yükümlülüğü, kanunen malın tüketiciye teslim masraflarını da kapsar. İade kargo ücreti bakımından ise Yönetmelik, tüketiciyi koruyan bir düzenleme getirmiştir: Eğer satıcı ön bilgilendirmede iade için belirli bir kargo firması belirtmişse, tüketici cayma halinde malı bu belirlenen kargo ile geri gönderdiğinde iadeye ilişkin hiçbir kargo ücreti ödemez. Satıcı ön bilgilendirmede herhangi bir taşıyıcı belirtmemişse de tüketiciden iade masrafı talep edilemez. Belirtilen kargo firmasının tüketicinin bulunduğu yerde şubesi olmaması halinde satıcı, malın başka şekilde masrafsız iadesini sağlamakla yükümlüdür. Sonuç olarak, cayma hakkının kullanımı durumunda tüketici ödediği bedelin tamamını iade alma hakkına sahiptir; satıcı ise ürün bedelini, teslimat dahil yaptığı tahsilâtı ve varsa diğer masrafları eksiksiz iade etmekle yükümlüdür.</w:t>
      </w:r>
    </w:p>
    <w:p w14:paraId="06E9211C" w14:textId="77777777" w:rsidR="001357B2" w:rsidRPr="00EB2DC8" w:rsidRDefault="001357B2" w:rsidP="001357B2">
      <w:pPr>
        <w:pStyle w:val="ListeParagraf"/>
        <w:ind w:left="-142"/>
        <w:jc w:val="both"/>
        <w:rPr>
          <w:rFonts w:ascii="Times New Roman" w:hAnsi="Times New Roman" w:cs="Times New Roman"/>
          <w:color w:val="000000" w:themeColor="text1"/>
          <w:sz w:val="22"/>
          <w:szCs w:val="22"/>
        </w:rPr>
      </w:pPr>
    </w:p>
    <w:p w14:paraId="38A7E379" w14:textId="77777777" w:rsidR="001357B2" w:rsidRPr="00EB2DC8" w:rsidRDefault="001357B2" w:rsidP="001357B2">
      <w:pPr>
        <w:pStyle w:val="ListeParagraf"/>
        <w:numPr>
          <w:ilvl w:val="0"/>
          <w:numId w:val="23"/>
        </w:numPr>
        <w:ind w:left="-142"/>
        <w:jc w:val="both"/>
        <w:rPr>
          <w:rFonts w:ascii="Times New Roman" w:hAnsi="Times New Roman" w:cs="Times New Roman"/>
          <w:b/>
          <w:bCs/>
          <w:color w:val="000000" w:themeColor="text1"/>
          <w:sz w:val="22"/>
          <w:szCs w:val="22"/>
        </w:rPr>
      </w:pPr>
      <w:r w:rsidRPr="00EB2DC8">
        <w:rPr>
          <w:rFonts w:ascii="Times New Roman" w:hAnsi="Times New Roman" w:cs="Times New Roman"/>
          <w:b/>
          <w:bCs/>
          <w:color w:val="000000" w:themeColor="text1"/>
          <w:sz w:val="22"/>
          <w:szCs w:val="22"/>
        </w:rPr>
        <w:t>Cayma Hakkının İstisnaları</w:t>
      </w:r>
    </w:p>
    <w:p w14:paraId="1BCE6A8E" w14:textId="77777777" w:rsidR="001357B2" w:rsidRPr="00EB2DC8" w:rsidRDefault="001357B2" w:rsidP="001357B2">
      <w:pPr>
        <w:pStyle w:val="ListeParagraf"/>
        <w:ind w:left="-142"/>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Yönetmelik, bazı özel durumlarda cayma hakkının kullanılmasını istisna tutmuştur. Yönetmelik m.15’te tek tek sayılan bu istisnalar, mal veya hizmetin niteliği gereği iadenin uygun görülmediği veya ticari bakımdan korunması gereken hallerdir. Başlıca istisna durumları şunlardır:</w:t>
      </w:r>
    </w:p>
    <w:p w14:paraId="58DA9C02" w14:textId="77777777" w:rsidR="001357B2" w:rsidRPr="00EB2DC8" w:rsidRDefault="001357B2" w:rsidP="001357B2">
      <w:pPr>
        <w:pStyle w:val="ListeParagraf"/>
        <w:ind w:left="-142"/>
        <w:jc w:val="both"/>
        <w:rPr>
          <w:rFonts w:ascii="Times New Roman" w:hAnsi="Times New Roman" w:cs="Times New Roman"/>
          <w:color w:val="000000" w:themeColor="text1"/>
          <w:sz w:val="22"/>
          <w:szCs w:val="22"/>
        </w:rPr>
      </w:pPr>
    </w:p>
    <w:p w14:paraId="559FCB12" w14:textId="77777777" w:rsidR="001357B2" w:rsidRPr="00EB2DC8" w:rsidRDefault="001357B2" w:rsidP="001357B2">
      <w:pPr>
        <w:pStyle w:val="ListeParagraf"/>
        <w:numPr>
          <w:ilvl w:val="0"/>
          <w:numId w:val="21"/>
        </w:numPr>
        <w:ind w:left="-142"/>
        <w:jc w:val="both"/>
        <w:rPr>
          <w:rFonts w:ascii="Times New Roman" w:hAnsi="Times New Roman" w:cs="Times New Roman"/>
          <w:color w:val="000000" w:themeColor="text1"/>
          <w:sz w:val="22"/>
          <w:szCs w:val="22"/>
        </w:rPr>
      </w:pPr>
      <w:r w:rsidRPr="00EB2DC8">
        <w:rPr>
          <w:rFonts w:ascii="Times New Roman" w:hAnsi="Times New Roman" w:cs="Times New Roman"/>
          <w:b/>
          <w:bCs/>
          <w:color w:val="000000" w:themeColor="text1"/>
          <w:sz w:val="22"/>
          <w:szCs w:val="22"/>
        </w:rPr>
        <w:lastRenderedPageBreak/>
        <w:t>Piyasa dalgalanmalarına tabi mallar:</w:t>
      </w:r>
      <w:r w:rsidRPr="00EB2DC8">
        <w:rPr>
          <w:rFonts w:ascii="Times New Roman" w:hAnsi="Times New Roman" w:cs="Times New Roman"/>
          <w:color w:val="000000" w:themeColor="text1"/>
          <w:sz w:val="22"/>
          <w:szCs w:val="22"/>
        </w:rPr>
        <w:t xml:space="preserve"> Fiyatı finansal piyasalardaki dalgalanmalara bağlı ve satıcının kontrolünde olmayan mallarda (örneğin altın, döviz gibi kıymetli madenler) cayma hakkı tanınmaz. Bu tür ürünlerin fiyatı sürekli değiştiği için iade hakkı satıcı açısından öngörülemez risk yaratacaktır. </w:t>
      </w:r>
    </w:p>
    <w:p w14:paraId="6E3E6347" w14:textId="77777777" w:rsidR="001357B2" w:rsidRPr="00EB2DC8" w:rsidRDefault="001357B2" w:rsidP="001357B2">
      <w:pPr>
        <w:pStyle w:val="ListeParagraf"/>
        <w:numPr>
          <w:ilvl w:val="0"/>
          <w:numId w:val="21"/>
        </w:numPr>
        <w:ind w:left="-142"/>
        <w:jc w:val="both"/>
        <w:rPr>
          <w:rFonts w:ascii="Times New Roman" w:hAnsi="Times New Roman" w:cs="Times New Roman"/>
          <w:color w:val="000000" w:themeColor="text1"/>
          <w:sz w:val="22"/>
          <w:szCs w:val="22"/>
        </w:rPr>
      </w:pPr>
      <w:r w:rsidRPr="00EB2DC8">
        <w:rPr>
          <w:rFonts w:ascii="Times New Roman" w:hAnsi="Times New Roman" w:cs="Times New Roman"/>
          <w:b/>
          <w:bCs/>
          <w:color w:val="000000" w:themeColor="text1"/>
          <w:sz w:val="22"/>
          <w:szCs w:val="22"/>
        </w:rPr>
        <w:t>Özel üretilen mallar:</w:t>
      </w:r>
      <w:r w:rsidRPr="00EB2DC8">
        <w:rPr>
          <w:rFonts w:ascii="Times New Roman" w:hAnsi="Times New Roman" w:cs="Times New Roman"/>
          <w:color w:val="000000" w:themeColor="text1"/>
          <w:sz w:val="22"/>
          <w:szCs w:val="22"/>
        </w:rPr>
        <w:t xml:space="preserve"> Tüketicinin özel istekleri veya kişisel ihtiyaçları doğrultusunda hazırlanan, kişiye özel üretilen mallar cayma hakkı dışında tutulmuştur</w:t>
      </w:r>
      <w:hyperlink r:id="rId7" w:anchor=":~:text=,hijyen%20a%C3%A7%C4%B1s%C4%B1ndan%20uygun%20olmayanlar%20mallar" w:tgtFrame="_blank" w:history="1"/>
      <w:r w:rsidRPr="00EB2DC8">
        <w:rPr>
          <w:rFonts w:ascii="Times New Roman" w:hAnsi="Times New Roman" w:cs="Times New Roman"/>
          <w:color w:val="000000" w:themeColor="text1"/>
          <w:sz w:val="22"/>
          <w:szCs w:val="22"/>
        </w:rPr>
        <w:t>. Örneğin özel ölçüyle dikilen elbise, isim yazılı ürün gibi başkası tarafından satılması mümkün olmayan ürünlerde satıcının korunması amacıyla iade kabul edilmez.</w:t>
      </w:r>
    </w:p>
    <w:p w14:paraId="6A7390A7" w14:textId="77777777" w:rsidR="001357B2" w:rsidRPr="00EB2DC8" w:rsidRDefault="001357B2" w:rsidP="001357B2">
      <w:pPr>
        <w:pStyle w:val="ListeParagraf"/>
        <w:numPr>
          <w:ilvl w:val="0"/>
          <w:numId w:val="21"/>
        </w:numPr>
        <w:ind w:left="-142"/>
        <w:jc w:val="both"/>
        <w:rPr>
          <w:rFonts w:ascii="Times New Roman" w:hAnsi="Times New Roman" w:cs="Times New Roman"/>
          <w:color w:val="000000" w:themeColor="text1"/>
          <w:sz w:val="22"/>
          <w:szCs w:val="22"/>
        </w:rPr>
      </w:pPr>
      <w:r w:rsidRPr="00EB2DC8">
        <w:rPr>
          <w:rFonts w:ascii="Times New Roman" w:hAnsi="Times New Roman" w:cs="Times New Roman"/>
          <w:b/>
          <w:bCs/>
          <w:color w:val="000000" w:themeColor="text1"/>
          <w:sz w:val="22"/>
          <w:szCs w:val="22"/>
        </w:rPr>
        <w:t>Çabuk bozulabilen ürünler:</w:t>
      </w:r>
      <w:r w:rsidRPr="00EB2DC8">
        <w:rPr>
          <w:rFonts w:ascii="Times New Roman" w:hAnsi="Times New Roman" w:cs="Times New Roman"/>
          <w:color w:val="000000" w:themeColor="text1"/>
          <w:sz w:val="22"/>
          <w:szCs w:val="22"/>
        </w:rPr>
        <w:t xml:space="preserve"> Bozulma ihtimali yüksek veya son kullanma tarihi geçebilecek gıda, çiçek, taze gıda gibi mallarda cayma hakkı kullanılamaz. Ürünün iadesi pratik değildir; zira bu ürünler kısa sürede değer kaybeder veya sağlık riski oluşturur.</w:t>
      </w:r>
    </w:p>
    <w:p w14:paraId="6E814C3A" w14:textId="77777777" w:rsidR="001357B2" w:rsidRPr="00EB2DC8" w:rsidRDefault="001357B2" w:rsidP="001357B2">
      <w:pPr>
        <w:pStyle w:val="ListeParagraf"/>
        <w:numPr>
          <w:ilvl w:val="0"/>
          <w:numId w:val="21"/>
        </w:numPr>
        <w:ind w:left="-142"/>
        <w:jc w:val="both"/>
        <w:rPr>
          <w:rFonts w:ascii="Times New Roman" w:hAnsi="Times New Roman" w:cs="Times New Roman"/>
          <w:color w:val="000000" w:themeColor="text1"/>
          <w:sz w:val="22"/>
          <w:szCs w:val="22"/>
        </w:rPr>
      </w:pPr>
      <w:r w:rsidRPr="00EB2DC8">
        <w:rPr>
          <w:rFonts w:ascii="Times New Roman" w:hAnsi="Times New Roman" w:cs="Times New Roman"/>
          <w:b/>
          <w:bCs/>
          <w:color w:val="000000" w:themeColor="text1"/>
          <w:sz w:val="22"/>
          <w:szCs w:val="22"/>
        </w:rPr>
        <w:t>Teslimden sonra başka ürünlerle karışan mallar:</w:t>
      </w:r>
      <w:r w:rsidRPr="00EB2DC8">
        <w:rPr>
          <w:rFonts w:ascii="Times New Roman" w:hAnsi="Times New Roman" w:cs="Times New Roman"/>
          <w:color w:val="000000" w:themeColor="text1"/>
          <w:sz w:val="22"/>
          <w:szCs w:val="22"/>
        </w:rPr>
        <w:t xml:space="preserve"> Teslim edildiği anda doğası gereği başka ürünlerle karışan ve ayrıştırılması mümkün olmayan mallar da iade kapsamı dışındadır. Örneğin bir sıvı yakıtın başka bir depodaki yakıtla karışması halinde, ayrıştırma imkânsız olduğu için cayma hakkı öngörülmemiştir. </w:t>
      </w:r>
    </w:p>
    <w:p w14:paraId="71564D0C" w14:textId="77777777" w:rsidR="001357B2" w:rsidRPr="00EB2DC8" w:rsidRDefault="001357B2" w:rsidP="001357B2">
      <w:pPr>
        <w:pStyle w:val="ListeParagraf"/>
        <w:numPr>
          <w:ilvl w:val="0"/>
          <w:numId w:val="21"/>
        </w:numPr>
        <w:ind w:left="-142"/>
        <w:jc w:val="both"/>
        <w:rPr>
          <w:rFonts w:ascii="Times New Roman" w:hAnsi="Times New Roman" w:cs="Times New Roman"/>
          <w:color w:val="000000" w:themeColor="text1"/>
          <w:sz w:val="22"/>
          <w:szCs w:val="22"/>
        </w:rPr>
      </w:pPr>
      <w:r w:rsidRPr="00EB2DC8">
        <w:rPr>
          <w:rFonts w:ascii="Times New Roman" w:hAnsi="Times New Roman" w:cs="Times New Roman"/>
          <w:b/>
          <w:bCs/>
          <w:color w:val="000000" w:themeColor="text1"/>
          <w:sz w:val="22"/>
          <w:szCs w:val="22"/>
        </w:rPr>
        <w:t>Sağlık veya hijyen açısından iadesi uygun olmayan ürünler:</w:t>
      </w:r>
      <w:r w:rsidRPr="00EB2DC8">
        <w:rPr>
          <w:rFonts w:ascii="Times New Roman" w:hAnsi="Times New Roman" w:cs="Times New Roman"/>
          <w:color w:val="000000" w:themeColor="text1"/>
          <w:sz w:val="22"/>
          <w:szCs w:val="22"/>
        </w:rPr>
        <w:t xml:space="preserve"> Ambalajı, mührü, bandı açılmış olması şartıyla iç giyim, kozmetik, kulaklık gibi hijyenik nedenlerle tekrar satışı uygun olmayan mallarda cayma hakkı kullanılamaz. Bu ürünlerin iadesi hem sağlık riski taşır hem de hijyen açısından sakıncalıdır.</w:t>
      </w:r>
    </w:p>
    <w:p w14:paraId="16D6A87E" w14:textId="77777777" w:rsidR="001357B2" w:rsidRPr="00EB2DC8" w:rsidRDefault="001357B2" w:rsidP="001357B2">
      <w:pPr>
        <w:pStyle w:val="ListeParagraf"/>
        <w:numPr>
          <w:ilvl w:val="0"/>
          <w:numId w:val="21"/>
        </w:numPr>
        <w:ind w:left="-142"/>
        <w:jc w:val="both"/>
        <w:rPr>
          <w:rFonts w:ascii="Times New Roman" w:hAnsi="Times New Roman" w:cs="Times New Roman"/>
          <w:color w:val="000000" w:themeColor="text1"/>
          <w:sz w:val="22"/>
          <w:szCs w:val="22"/>
        </w:rPr>
      </w:pPr>
      <w:r w:rsidRPr="00EB2DC8">
        <w:rPr>
          <w:rFonts w:ascii="Times New Roman" w:hAnsi="Times New Roman" w:cs="Times New Roman"/>
          <w:b/>
          <w:bCs/>
          <w:color w:val="000000" w:themeColor="text1"/>
          <w:sz w:val="22"/>
          <w:szCs w:val="22"/>
        </w:rPr>
        <w:t>Dijital içerikli veya kopyalanabilir medya ürünleri:</w:t>
      </w:r>
      <w:r w:rsidRPr="00EB2DC8">
        <w:rPr>
          <w:rFonts w:ascii="Times New Roman" w:hAnsi="Times New Roman" w:cs="Times New Roman"/>
          <w:color w:val="000000" w:themeColor="text1"/>
          <w:sz w:val="22"/>
          <w:szCs w:val="22"/>
        </w:rPr>
        <w:t xml:space="preserve"> </w:t>
      </w:r>
      <w:r w:rsidRPr="00EB2DC8">
        <w:rPr>
          <w:rFonts w:ascii="Times New Roman" w:hAnsi="Times New Roman" w:cs="Times New Roman"/>
          <w:b/>
          <w:bCs/>
          <w:color w:val="000000" w:themeColor="text1"/>
          <w:sz w:val="22"/>
          <w:szCs w:val="22"/>
        </w:rPr>
        <w:t>Maddi bir ortamda sunulan dijital içerikler</w:t>
      </w:r>
      <w:r w:rsidRPr="00EB2DC8">
        <w:rPr>
          <w:rFonts w:ascii="Times New Roman" w:hAnsi="Times New Roman" w:cs="Times New Roman"/>
          <w:color w:val="000000" w:themeColor="text1"/>
          <w:sz w:val="22"/>
          <w:szCs w:val="22"/>
        </w:rPr>
        <w:t xml:space="preserve"> (CD, DVD, oyun veya yazılım medyaları) ile bilgisayar sarf malzemeleri (</w:t>
      </w:r>
      <w:proofErr w:type="spellStart"/>
      <w:r w:rsidRPr="00EB2DC8">
        <w:rPr>
          <w:rFonts w:ascii="Times New Roman" w:hAnsi="Times New Roman" w:cs="Times New Roman"/>
          <w:color w:val="000000" w:themeColor="text1"/>
          <w:sz w:val="22"/>
          <w:szCs w:val="22"/>
        </w:rPr>
        <w:t>örn</w:t>
      </w:r>
      <w:proofErr w:type="spellEnd"/>
      <w:r w:rsidRPr="00EB2DC8">
        <w:rPr>
          <w:rFonts w:ascii="Times New Roman" w:hAnsi="Times New Roman" w:cs="Times New Roman"/>
          <w:color w:val="000000" w:themeColor="text1"/>
          <w:sz w:val="22"/>
          <w:szCs w:val="22"/>
        </w:rPr>
        <w:t>. toner, kartuş) ve kitaplar için, eğer koruyucu ambalajları açılmışsa cayma hakkı geçerli değildir. Zira ambalaj açıldıktan sonra içeriğin kopyalanma ihtimali vardır.</w:t>
      </w:r>
    </w:p>
    <w:p w14:paraId="440AA93D" w14:textId="77777777" w:rsidR="001357B2" w:rsidRPr="00EB2DC8" w:rsidRDefault="001357B2" w:rsidP="001357B2">
      <w:pPr>
        <w:pStyle w:val="ListeParagraf"/>
        <w:numPr>
          <w:ilvl w:val="0"/>
          <w:numId w:val="21"/>
        </w:numPr>
        <w:ind w:left="-142"/>
        <w:jc w:val="both"/>
        <w:rPr>
          <w:rFonts w:ascii="Times New Roman" w:hAnsi="Times New Roman" w:cs="Times New Roman"/>
          <w:color w:val="000000" w:themeColor="text1"/>
          <w:sz w:val="22"/>
          <w:szCs w:val="22"/>
        </w:rPr>
      </w:pPr>
      <w:r w:rsidRPr="00EB2DC8">
        <w:rPr>
          <w:rFonts w:ascii="Times New Roman" w:hAnsi="Times New Roman" w:cs="Times New Roman"/>
          <w:b/>
          <w:bCs/>
          <w:color w:val="000000" w:themeColor="text1"/>
          <w:sz w:val="22"/>
          <w:szCs w:val="22"/>
        </w:rPr>
        <w:t>Süreli yayınlar:</w:t>
      </w:r>
      <w:r w:rsidRPr="00EB2DC8">
        <w:rPr>
          <w:rFonts w:ascii="Times New Roman" w:hAnsi="Times New Roman" w:cs="Times New Roman"/>
          <w:color w:val="000000" w:themeColor="text1"/>
          <w:sz w:val="22"/>
          <w:szCs w:val="22"/>
        </w:rPr>
        <w:t xml:space="preserve"> Gazete, dergi gibi belirli aralıklarla yayımlanan süreli yayınların teslimine ilişkin sözleşmelerde cayma hakkı tanınmamıştır (abonelikle sağlananlar hariç). Bu yayınlar güncel içerikli olduğundan, iade edilmesi ticari açıdan anlamlı görülmemiştir.</w:t>
      </w:r>
    </w:p>
    <w:p w14:paraId="680B5D3A" w14:textId="77777777" w:rsidR="001357B2" w:rsidRPr="00EB2DC8" w:rsidRDefault="001357B2" w:rsidP="001357B2">
      <w:pPr>
        <w:pStyle w:val="ListeParagraf"/>
        <w:numPr>
          <w:ilvl w:val="0"/>
          <w:numId w:val="21"/>
        </w:numPr>
        <w:ind w:left="-142"/>
        <w:jc w:val="both"/>
        <w:rPr>
          <w:rFonts w:ascii="Times New Roman" w:hAnsi="Times New Roman" w:cs="Times New Roman"/>
          <w:color w:val="000000" w:themeColor="text1"/>
          <w:sz w:val="22"/>
          <w:szCs w:val="22"/>
        </w:rPr>
      </w:pPr>
      <w:r w:rsidRPr="00EB2DC8">
        <w:rPr>
          <w:rFonts w:ascii="Times New Roman" w:hAnsi="Times New Roman" w:cs="Times New Roman"/>
          <w:b/>
          <w:bCs/>
          <w:color w:val="000000" w:themeColor="text1"/>
          <w:sz w:val="22"/>
          <w:szCs w:val="22"/>
        </w:rPr>
        <w:t>Belirli tarihli veya dönemli hizmetler:</w:t>
      </w:r>
      <w:r w:rsidRPr="00EB2DC8">
        <w:rPr>
          <w:rFonts w:ascii="Times New Roman" w:hAnsi="Times New Roman" w:cs="Times New Roman"/>
          <w:color w:val="000000" w:themeColor="text1"/>
          <w:sz w:val="22"/>
          <w:szCs w:val="22"/>
        </w:rPr>
        <w:t xml:space="preserve"> Belirli bir tarihte veya dönemde ifa edilmesi gereken konaklama, seyahat, eğlence organizasyonu gibi hizmet sözleşmelerinde cayma hakkı kullanılamaz. Örneğin otel rezervasyonu, konser veya uçak bileti gibi hizmetlerde, hizmet sağlayıcı açısından son anda iade kabul etmek telafisi güç zararlara yol açabilir.</w:t>
      </w:r>
    </w:p>
    <w:p w14:paraId="170472A2" w14:textId="77777777" w:rsidR="001357B2" w:rsidRPr="00EB2DC8" w:rsidRDefault="001357B2" w:rsidP="001357B2">
      <w:pPr>
        <w:pStyle w:val="ListeParagraf"/>
        <w:numPr>
          <w:ilvl w:val="0"/>
          <w:numId w:val="21"/>
        </w:numPr>
        <w:ind w:left="-142"/>
        <w:jc w:val="both"/>
        <w:rPr>
          <w:rFonts w:ascii="Times New Roman" w:hAnsi="Times New Roman" w:cs="Times New Roman"/>
          <w:color w:val="000000" w:themeColor="text1"/>
          <w:sz w:val="22"/>
          <w:szCs w:val="22"/>
        </w:rPr>
      </w:pPr>
      <w:r w:rsidRPr="00EB2DC8">
        <w:rPr>
          <w:rFonts w:ascii="Times New Roman" w:hAnsi="Times New Roman" w:cs="Times New Roman"/>
          <w:b/>
          <w:bCs/>
          <w:color w:val="000000" w:themeColor="text1"/>
          <w:sz w:val="22"/>
          <w:szCs w:val="22"/>
        </w:rPr>
        <w:t>Anında ifa edilen elektronik hizmetler ve dijital mallar:</w:t>
      </w:r>
      <w:r w:rsidRPr="00EB2DC8">
        <w:rPr>
          <w:rFonts w:ascii="Times New Roman" w:hAnsi="Times New Roman" w:cs="Times New Roman"/>
          <w:color w:val="000000" w:themeColor="text1"/>
          <w:sz w:val="22"/>
          <w:szCs w:val="22"/>
        </w:rPr>
        <w:t xml:space="preserve"> Elektronik ortamda anında ifa edilen hizmetler (örneğin çevrimiçi eğitim, dijital içerik erişimi) veya tüketiciye anında teslim edilen </w:t>
      </w:r>
      <w:proofErr w:type="spellStart"/>
      <w:r w:rsidRPr="00EB2DC8">
        <w:rPr>
          <w:rFonts w:ascii="Times New Roman" w:hAnsi="Times New Roman" w:cs="Times New Roman"/>
          <w:color w:val="000000" w:themeColor="text1"/>
          <w:sz w:val="22"/>
          <w:szCs w:val="22"/>
        </w:rPr>
        <w:t>gayrimaddi</w:t>
      </w:r>
      <w:proofErr w:type="spellEnd"/>
      <w:r w:rsidRPr="00EB2DC8">
        <w:rPr>
          <w:rFonts w:ascii="Times New Roman" w:hAnsi="Times New Roman" w:cs="Times New Roman"/>
          <w:color w:val="000000" w:themeColor="text1"/>
          <w:sz w:val="22"/>
          <w:szCs w:val="22"/>
        </w:rPr>
        <w:t xml:space="preserve"> dijital ürünler (</w:t>
      </w:r>
      <w:proofErr w:type="spellStart"/>
      <w:r w:rsidRPr="00EB2DC8">
        <w:rPr>
          <w:rFonts w:ascii="Times New Roman" w:hAnsi="Times New Roman" w:cs="Times New Roman"/>
          <w:color w:val="000000" w:themeColor="text1"/>
          <w:sz w:val="22"/>
          <w:szCs w:val="22"/>
        </w:rPr>
        <w:t>örn</w:t>
      </w:r>
      <w:proofErr w:type="spellEnd"/>
      <w:r w:rsidRPr="00EB2DC8">
        <w:rPr>
          <w:rFonts w:ascii="Times New Roman" w:hAnsi="Times New Roman" w:cs="Times New Roman"/>
          <w:color w:val="000000" w:themeColor="text1"/>
          <w:sz w:val="22"/>
          <w:szCs w:val="22"/>
        </w:rPr>
        <w:t>. çevrimiçi müzik, yazılım indirmeleri) cayma hakkına tabi değildir. Bu tür hizmet ve ürünlerde tüketici anında fayda sağladığı için sonradan cayma imkânı tanınmamıştır.</w:t>
      </w:r>
    </w:p>
    <w:p w14:paraId="20AE6E4C" w14:textId="77777777" w:rsidR="001357B2" w:rsidRPr="00EB2DC8" w:rsidRDefault="001357B2" w:rsidP="001357B2">
      <w:pPr>
        <w:pStyle w:val="ListeParagraf"/>
        <w:numPr>
          <w:ilvl w:val="0"/>
          <w:numId w:val="21"/>
        </w:numPr>
        <w:ind w:left="-142"/>
        <w:jc w:val="both"/>
        <w:rPr>
          <w:rFonts w:ascii="Times New Roman" w:hAnsi="Times New Roman" w:cs="Times New Roman"/>
          <w:color w:val="000000" w:themeColor="text1"/>
          <w:sz w:val="22"/>
          <w:szCs w:val="22"/>
        </w:rPr>
      </w:pPr>
      <w:r w:rsidRPr="00EB2DC8">
        <w:rPr>
          <w:rFonts w:ascii="Times New Roman" w:hAnsi="Times New Roman" w:cs="Times New Roman"/>
          <w:b/>
          <w:bCs/>
          <w:color w:val="000000" w:themeColor="text1"/>
          <w:sz w:val="22"/>
          <w:szCs w:val="22"/>
        </w:rPr>
        <w:t>Başlanan hizmetler:</w:t>
      </w:r>
      <w:r w:rsidRPr="00EB2DC8">
        <w:rPr>
          <w:rFonts w:ascii="Times New Roman" w:hAnsi="Times New Roman" w:cs="Times New Roman"/>
          <w:color w:val="000000" w:themeColor="text1"/>
          <w:sz w:val="22"/>
          <w:szCs w:val="22"/>
        </w:rPr>
        <w:t xml:space="preserve"> Cayma süresi dolmadan önce tüketicinin onayı ile ifasına başlanmış hizmetler için de cayma hakkı kullanılamaz. Özellikle tüketicinin talebiyle hemen ifaya geçilen tamir, bakım gibi hizmetlerde, hizmet yerine getirilmeye başlandığında cayma hakkı son bulur.</w:t>
      </w:r>
    </w:p>
    <w:p w14:paraId="5ECA0AFC" w14:textId="77777777" w:rsidR="001357B2" w:rsidRPr="00EB2DC8" w:rsidRDefault="001357B2" w:rsidP="001357B2">
      <w:pPr>
        <w:pStyle w:val="ListeParagraf"/>
        <w:ind w:left="-142"/>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Yukarıdaki istisnaların sözleşme yapılmadan önce tüketiciye açıkça bildirilmesi gerekir. Satıcı, ön bilgilendirme formunda ve mesafeli satış sözleşmesinde hangi hallerde cayma hakkının geçerli olmayacağını tüketiciye belirtmek zorundadır. Bu sayede tüketici, satın aldığı ürün/hizmet için cayma imkanının bulunup bulunmadığını önceden bilerek karar verecektir.</w:t>
      </w:r>
    </w:p>
    <w:p w14:paraId="08145A4A" w14:textId="77777777" w:rsidR="001357B2" w:rsidRPr="00EB2DC8" w:rsidRDefault="001357B2" w:rsidP="001357B2">
      <w:pPr>
        <w:pStyle w:val="ListeParagraf"/>
        <w:jc w:val="both"/>
        <w:rPr>
          <w:rFonts w:ascii="Times New Roman" w:hAnsi="Times New Roman" w:cs="Times New Roman"/>
          <w:color w:val="000000" w:themeColor="text1"/>
          <w:sz w:val="22"/>
          <w:szCs w:val="22"/>
        </w:rPr>
      </w:pPr>
    </w:p>
    <w:p w14:paraId="0FD87C36" w14:textId="77777777" w:rsidR="001357B2" w:rsidRPr="00EB2DC8" w:rsidRDefault="001357B2" w:rsidP="001357B2">
      <w:pPr>
        <w:pStyle w:val="ListeParagraf"/>
        <w:numPr>
          <w:ilvl w:val="0"/>
          <w:numId w:val="23"/>
        </w:numPr>
        <w:ind w:left="-142"/>
        <w:jc w:val="both"/>
        <w:rPr>
          <w:rFonts w:ascii="Times New Roman" w:hAnsi="Times New Roman" w:cs="Times New Roman"/>
          <w:b/>
          <w:bCs/>
          <w:color w:val="000000" w:themeColor="text1"/>
          <w:sz w:val="22"/>
          <w:szCs w:val="22"/>
        </w:rPr>
      </w:pPr>
      <w:r w:rsidRPr="00EB2DC8">
        <w:rPr>
          <w:rFonts w:ascii="Times New Roman" w:hAnsi="Times New Roman" w:cs="Times New Roman"/>
          <w:b/>
          <w:bCs/>
          <w:color w:val="000000" w:themeColor="text1"/>
          <w:sz w:val="22"/>
          <w:szCs w:val="22"/>
        </w:rPr>
        <w:t>Cayma Hakkının Kötüye Kullanımı ve Satıcı Açısından Sonuçlar</w:t>
      </w:r>
    </w:p>
    <w:p w14:paraId="7F21E759" w14:textId="77777777" w:rsidR="001357B2" w:rsidRPr="00EB2DC8" w:rsidRDefault="001357B2" w:rsidP="001357B2">
      <w:pPr>
        <w:pStyle w:val="ListeParagraf"/>
        <w:ind w:left="-142"/>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 xml:space="preserve">Cayma hakkı, tüketiciyi korumak amacıyla geniş bir şekilde tanınmıştır; ancak bu durum, bazı kötüye kullanım ihtimallerini de gündeme getirmektedir. Özellikle elektronik ticarette, tüketicinin satın aldığı ürünü kullanıp iade etmesi satıcı açısından maddi kayba yol açabilir. Kanun koyucu, tüketicinin dürüstlük kuralına aykırı şekilde cayma hakkını kullanmasını önlemek için bazı dengeleyici hükümler getirmiştir. TKHK m.48/4’ün son cümlesine göre tüketici, cayma süresi içinde malı yalnızca mutat (olağan) kullanımı sebebiyle meydana gelen değişiklik ve bozulmalar nedeniyle sorumlu tutulamaz. Diğer bir deyişle, </w:t>
      </w:r>
      <w:r w:rsidRPr="00EB2DC8">
        <w:rPr>
          <w:rFonts w:ascii="Times New Roman" w:hAnsi="Times New Roman" w:cs="Times New Roman"/>
          <w:color w:val="000000" w:themeColor="text1"/>
          <w:sz w:val="22"/>
          <w:szCs w:val="22"/>
        </w:rPr>
        <w:lastRenderedPageBreak/>
        <w:t>tüketici satın aldığı malı makul bir gözden geçirme ve deneme ölçüsünde kullanabilir; bu normal kullanım kapsamında oluşan değer kaybından sorumlu değildir. Ancak Mesafeli Sözleşmeler Yönetmeliği m.13/2, mutat kullanımın aşılması halinde tüketicinin malda meydana gelen bozulma veya değer azalmalarından sorumlu olacağını düzenlemiştir. Dolayısıyla tüketici ürününü iade ederken, eğer ürünü gereğinden fazla kullanmış ya da zarar vermiş ise, satıcı üründeki değer kaybını tazmin etmesini talep edebilir. Uygulamada satıcılar, böyle durumlarda iade edilecek tutardan uygun bir miktarı kesme veya zararı hukuken ispat ederek tazmin yoluna gitme hakkına sahiptir.</w:t>
      </w:r>
    </w:p>
    <w:p w14:paraId="52B54953" w14:textId="77777777" w:rsidR="001357B2" w:rsidRPr="00EB2DC8" w:rsidRDefault="001357B2" w:rsidP="001357B2">
      <w:pPr>
        <w:pStyle w:val="ListeParagraf"/>
        <w:ind w:left="-142"/>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 xml:space="preserve">Cayma hakkının kötüye kullanımı konusunda yargı mercileri de denge arayışındadır. Örneğin, Yargıtay 3. Hukuk Dairesi’nin 2022/6784 E.- 2022/8533 K. numaralı kararında, internet üzerinden satın alınan cep telefonunun 6 gün kullanıldıktan sonra iade edilmesi üzerine, satıcı firmanın “ürünün açılıp kullanılması nedeniyle sıfır özelliğini yitirdiği” iddiasını değerlendiren mahkeme, üründe mutat kullanım sınırları dışında bir yıpranma olup olmadığının bilirkişi incelemesiyle tespit edilmesi gerektiğine hükmetmiştir. Bu karar, tüketicinin cayma hakkını kullanırken ürünü makul ölçüde deneyebileceğini; ancak olağan kullanım sınırlarını aşan bir kullanım mevcutsa bunun dürüstlük kuralları çerçevesinde değerlendirileceğini ortaya koymaktadır. </w:t>
      </w:r>
    </w:p>
    <w:p w14:paraId="0FCAE912" w14:textId="77777777" w:rsidR="001357B2" w:rsidRPr="00EB2DC8" w:rsidRDefault="001357B2" w:rsidP="001357B2">
      <w:pPr>
        <w:pStyle w:val="ListeParagraf"/>
        <w:ind w:left="-142"/>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Sonuç olarak, elektronik ticarette mesafeli sözleşmeler hem tüketiciye ön bilgilendirme alma, 14 gün içinde koşulsuz cayma, iade sonrası bedelini geri alma gibi geniş haklar tanımakta, hem de satıcıya zamanında ifa, geri ödeme, bilgilendirme gibi belirli yükümlülükler yüklemektedir. Satıcılar, yasal düzenlemelere uygun davranarak sözleşme kurulumu ve cayma süreçlerini yönetmeli; tüketiciler ise haklarını kullanırken dürüstlük ilkesine uygun hareket etmelidir. Bu çerçevede TKHK ve Mesafeli Sözleşmeler Yönetmeliği, e-ticarette sözleşme kurulumu ve cayma hakkına ilişkin kapsamlı bir koruma ve dengeleme mekanizması sağlamaktadır.</w:t>
      </w:r>
    </w:p>
    <w:p w14:paraId="765C0AF0" w14:textId="77777777" w:rsidR="001357B2" w:rsidRPr="00EB2DC8" w:rsidRDefault="001357B2" w:rsidP="001357B2">
      <w:pPr>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br w:type="page"/>
      </w:r>
    </w:p>
    <w:p w14:paraId="7AA279E6" w14:textId="07DE006F" w:rsidR="001824D6" w:rsidRPr="00EB2DC8" w:rsidRDefault="00775ACD" w:rsidP="00775ACD">
      <w:pPr>
        <w:tabs>
          <w:tab w:val="num" w:pos="567"/>
        </w:tabs>
        <w:spacing w:after="0" w:line="276" w:lineRule="auto"/>
        <w:jc w:val="right"/>
        <w:rPr>
          <w:rFonts w:ascii="Times New Roman" w:hAnsi="Times New Roman" w:cs="Times New Roman"/>
          <w:b/>
          <w:bCs/>
          <w:sz w:val="22"/>
          <w:szCs w:val="22"/>
        </w:rPr>
      </w:pPr>
      <w:r w:rsidRPr="00EB2DC8">
        <w:rPr>
          <w:rFonts w:ascii="Times New Roman" w:hAnsi="Times New Roman" w:cs="Times New Roman"/>
          <w:b/>
          <w:bCs/>
          <w:sz w:val="22"/>
          <w:szCs w:val="22"/>
        </w:rPr>
        <w:lastRenderedPageBreak/>
        <w:t>15 OCAK 2026</w:t>
      </w:r>
    </w:p>
    <w:p w14:paraId="462B5E85" w14:textId="77777777" w:rsidR="001824D6" w:rsidRPr="00EB2DC8" w:rsidRDefault="001824D6" w:rsidP="001824D6">
      <w:pPr>
        <w:numPr>
          <w:ilvl w:val="0"/>
          <w:numId w:val="1"/>
        </w:numPr>
        <w:tabs>
          <w:tab w:val="clear" w:pos="720"/>
          <w:tab w:val="num" w:pos="567"/>
        </w:tabs>
        <w:spacing w:after="0" w:line="276" w:lineRule="auto"/>
        <w:ind w:left="0"/>
        <w:jc w:val="both"/>
        <w:rPr>
          <w:rFonts w:ascii="Times New Roman" w:hAnsi="Times New Roman" w:cs="Times New Roman"/>
          <w:b/>
          <w:bCs/>
          <w:sz w:val="22"/>
          <w:szCs w:val="22"/>
        </w:rPr>
      </w:pPr>
      <w:r w:rsidRPr="00EB2DC8">
        <w:rPr>
          <w:rFonts w:ascii="Times New Roman" w:hAnsi="Times New Roman" w:cs="Times New Roman"/>
          <w:b/>
          <w:bCs/>
          <w:sz w:val="22"/>
          <w:szCs w:val="22"/>
        </w:rPr>
        <w:t xml:space="preserve">E-TİCARET PLATFORMLARINDA İÇERİK SORUMLULUĞU VE HUKUKA AYKIRI İÇERİKLERLE MÜCADELE </w:t>
      </w:r>
    </w:p>
    <w:p w14:paraId="44C84DA1" w14:textId="77777777" w:rsidR="001357B2" w:rsidRPr="00EB2DC8" w:rsidRDefault="001357B2" w:rsidP="001357B2">
      <w:pPr>
        <w:tabs>
          <w:tab w:val="num" w:pos="567"/>
        </w:tabs>
        <w:spacing w:after="0" w:line="276" w:lineRule="auto"/>
        <w:jc w:val="both"/>
        <w:rPr>
          <w:rFonts w:ascii="Times New Roman" w:hAnsi="Times New Roman" w:cs="Times New Roman"/>
          <w:b/>
          <w:bCs/>
          <w:sz w:val="22"/>
          <w:szCs w:val="22"/>
        </w:rPr>
      </w:pPr>
    </w:p>
    <w:p w14:paraId="664EF92F" w14:textId="77777777" w:rsidR="004D6D50" w:rsidRPr="00EB2DC8" w:rsidRDefault="004D6D50" w:rsidP="004D6D50">
      <w:pPr>
        <w:jc w:val="both"/>
        <w:rPr>
          <w:rFonts w:ascii="Times New Roman" w:hAnsi="Times New Roman" w:cs="Times New Roman"/>
          <w:b/>
          <w:bCs/>
          <w:color w:val="000000" w:themeColor="text1"/>
          <w:sz w:val="22"/>
          <w:szCs w:val="22"/>
        </w:rPr>
      </w:pPr>
      <w:r w:rsidRPr="00EB2DC8">
        <w:rPr>
          <w:rFonts w:ascii="Times New Roman" w:hAnsi="Times New Roman" w:cs="Times New Roman"/>
          <w:b/>
          <w:bCs/>
          <w:color w:val="000000" w:themeColor="text1"/>
          <w:sz w:val="22"/>
          <w:szCs w:val="22"/>
        </w:rPr>
        <w:t>E-ticaret Platformlarının İçerik Sağlayıcı Olarak Konumlandırılması: ETAHS Tanımı ve Sınırları</w:t>
      </w:r>
    </w:p>
    <w:p w14:paraId="7EBA5F14" w14:textId="77777777" w:rsidR="004D6D50" w:rsidRPr="00EB2DC8" w:rsidRDefault="004D6D50" w:rsidP="004D6D50">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Elektronik ticaret platformları, hukuken aracı hizmet sağlayıcı</w:t>
      </w:r>
      <w:r w:rsidRPr="00EB2DC8">
        <w:rPr>
          <w:rFonts w:ascii="Times New Roman" w:hAnsi="Times New Roman" w:cs="Times New Roman"/>
          <w:b/>
          <w:bCs/>
          <w:color w:val="000000" w:themeColor="text1"/>
          <w:sz w:val="22"/>
          <w:szCs w:val="22"/>
        </w:rPr>
        <w:t xml:space="preserve"> (“ETAHS”)</w:t>
      </w:r>
      <w:r w:rsidRPr="00EB2DC8">
        <w:rPr>
          <w:rFonts w:ascii="Times New Roman" w:hAnsi="Times New Roman" w:cs="Times New Roman"/>
          <w:color w:val="000000" w:themeColor="text1"/>
          <w:sz w:val="22"/>
          <w:szCs w:val="22"/>
        </w:rPr>
        <w:t xml:space="preserve"> olarak tanımlanmaktadır. 6563 sayılı Elektronik Ticaretin Düzenlenmesi Hakkında Kanun’a (“</w:t>
      </w:r>
      <w:r w:rsidRPr="00EB2DC8">
        <w:rPr>
          <w:rFonts w:ascii="Times New Roman" w:hAnsi="Times New Roman" w:cs="Times New Roman"/>
          <w:b/>
          <w:bCs/>
          <w:color w:val="000000" w:themeColor="text1"/>
          <w:sz w:val="22"/>
          <w:szCs w:val="22"/>
        </w:rPr>
        <w:t>ETDK</w:t>
      </w:r>
      <w:r w:rsidRPr="00EB2DC8">
        <w:rPr>
          <w:rFonts w:ascii="Times New Roman" w:hAnsi="Times New Roman" w:cs="Times New Roman"/>
          <w:color w:val="000000" w:themeColor="text1"/>
          <w:sz w:val="22"/>
          <w:szCs w:val="22"/>
        </w:rPr>
        <w:t>”) göre hizmet sağlayıcı, elektronik ticaret faaliyetinde bulunan gerçek veya tüzel kişiler iken aracı hizmet sağlayıcı yani ETAHS</w:t>
      </w:r>
      <w:r w:rsidRPr="00EB2DC8">
        <w:rPr>
          <w:rFonts w:ascii="Times New Roman" w:hAnsi="Times New Roman" w:cs="Times New Roman"/>
          <w:i/>
          <w:iCs/>
          <w:color w:val="000000" w:themeColor="text1"/>
          <w:sz w:val="22"/>
          <w:szCs w:val="22"/>
        </w:rPr>
        <w:t xml:space="preserve">, </w:t>
      </w:r>
      <w:r w:rsidRPr="00EB2DC8">
        <w:rPr>
          <w:rFonts w:ascii="Times New Roman" w:hAnsi="Times New Roman" w:cs="Times New Roman"/>
          <w:color w:val="000000" w:themeColor="text1"/>
          <w:sz w:val="22"/>
          <w:szCs w:val="22"/>
        </w:rPr>
        <w:t xml:space="preserve">başkalarına ait iktisadi ve ticari faaliyetlerin yapılmasına elektronik ortam sağlayan gerçek veya tüzel kişileri ifade eder. Yani e-ticaret pazar yerleri kendi ürünlerini satmadıkları durumlarda, yalnızca başkalarının satış yapmasına </w:t>
      </w:r>
      <w:proofErr w:type="gramStart"/>
      <w:r w:rsidRPr="00EB2DC8">
        <w:rPr>
          <w:rFonts w:ascii="Times New Roman" w:hAnsi="Times New Roman" w:cs="Times New Roman"/>
          <w:color w:val="000000" w:themeColor="text1"/>
          <w:sz w:val="22"/>
          <w:szCs w:val="22"/>
        </w:rPr>
        <w:t>imkan</w:t>
      </w:r>
      <w:proofErr w:type="gramEnd"/>
      <w:r w:rsidRPr="00EB2DC8">
        <w:rPr>
          <w:rFonts w:ascii="Times New Roman" w:hAnsi="Times New Roman" w:cs="Times New Roman"/>
          <w:color w:val="000000" w:themeColor="text1"/>
          <w:sz w:val="22"/>
          <w:szCs w:val="22"/>
        </w:rPr>
        <w:t xml:space="preserve"> tanıyan bir platform işleticisi konumundadır. Bu konumları itibarıyla platformlar, satışa sunulan mal veya içeriklerin bizzat sağlayıcısı bir başka deyişle içerik sağlayıcı değil; yer sağlayıcı veya aracı olarak faaliyet gösterirler. Bu ayrım, platformların hukuki sorumluluk ve yükümlülüklerinin çerçevesini belirleyen kritik bir noktadır.</w:t>
      </w:r>
    </w:p>
    <w:p w14:paraId="4EDE8EC1" w14:textId="77777777" w:rsidR="004D6D50" w:rsidRPr="00EB2DC8" w:rsidRDefault="004D6D50" w:rsidP="004D6D50">
      <w:pPr>
        <w:jc w:val="both"/>
        <w:rPr>
          <w:rFonts w:ascii="Times New Roman" w:hAnsi="Times New Roman" w:cs="Times New Roman"/>
          <w:color w:val="000000" w:themeColor="text1"/>
          <w:sz w:val="22"/>
          <w:szCs w:val="22"/>
        </w:rPr>
      </w:pPr>
      <w:proofErr w:type="spellStart"/>
      <w:r w:rsidRPr="00EB2DC8">
        <w:rPr>
          <w:rFonts w:ascii="Times New Roman" w:hAnsi="Times New Roman" w:cs="Times New Roman"/>
          <w:color w:val="000000" w:themeColor="text1"/>
          <w:sz w:val="22"/>
          <w:szCs w:val="22"/>
        </w:rPr>
        <w:t>ETAHS’nin</w:t>
      </w:r>
      <w:proofErr w:type="spellEnd"/>
      <w:r w:rsidRPr="00EB2DC8">
        <w:rPr>
          <w:rFonts w:ascii="Times New Roman" w:hAnsi="Times New Roman" w:cs="Times New Roman"/>
          <w:color w:val="000000" w:themeColor="text1"/>
          <w:sz w:val="22"/>
          <w:szCs w:val="22"/>
        </w:rPr>
        <w:t xml:space="preserve"> tanımı ve sınırları, 29 Aralık 2022 tarihli Elektronik Ticaret Aracı Hizmet Sağlayıcı ve Elektronik Ticaret Hizmet Sağlayıcılar Hakkında Yönetmelik’te de (“</w:t>
      </w:r>
      <w:r w:rsidRPr="00EB2DC8">
        <w:rPr>
          <w:rFonts w:ascii="Times New Roman" w:hAnsi="Times New Roman" w:cs="Times New Roman"/>
          <w:b/>
          <w:bCs/>
          <w:color w:val="000000" w:themeColor="text1"/>
          <w:sz w:val="22"/>
          <w:szCs w:val="22"/>
        </w:rPr>
        <w:t>ETAHS Yönetmeliği</w:t>
      </w:r>
      <w:r w:rsidRPr="00EB2DC8">
        <w:rPr>
          <w:rFonts w:ascii="Times New Roman" w:hAnsi="Times New Roman" w:cs="Times New Roman"/>
          <w:color w:val="000000" w:themeColor="text1"/>
          <w:sz w:val="22"/>
          <w:szCs w:val="22"/>
        </w:rPr>
        <w:t xml:space="preserve">”) netleştirilmiştir. Yönetmelik m.4’te, </w:t>
      </w:r>
      <w:proofErr w:type="spellStart"/>
      <w:r w:rsidRPr="00EB2DC8">
        <w:rPr>
          <w:rFonts w:ascii="Times New Roman" w:hAnsi="Times New Roman" w:cs="Times New Roman"/>
          <w:color w:val="000000" w:themeColor="text1"/>
          <w:sz w:val="22"/>
          <w:szCs w:val="22"/>
        </w:rPr>
        <w:t>ETDK’daki</w:t>
      </w:r>
      <w:proofErr w:type="spellEnd"/>
      <w:r w:rsidRPr="00EB2DC8">
        <w:rPr>
          <w:rFonts w:ascii="Times New Roman" w:hAnsi="Times New Roman" w:cs="Times New Roman"/>
          <w:color w:val="000000" w:themeColor="text1"/>
          <w:sz w:val="22"/>
          <w:szCs w:val="22"/>
        </w:rPr>
        <w:t xml:space="preserve"> tanımlar tekrar edilerek platformların aracı hizmet sağlayıcı olarak kabul edilmesinin istisnaları belirtilmiştir. Buna göre, yalnızca belirli alanlarda faaliyet gösteren ve özel mevzuata tabi olan platformlar (örneğin, seyahat, finans, bahis gibi sektörlerdeki yetkili dijital hizmet sağlayıcılar), ETAHS kapsamında değerlendirilmemektedir. Bunun haricinde </w:t>
      </w:r>
      <w:proofErr w:type="spellStart"/>
      <w:r w:rsidRPr="00EB2DC8">
        <w:rPr>
          <w:rFonts w:ascii="Times New Roman" w:hAnsi="Times New Roman" w:cs="Times New Roman"/>
          <w:color w:val="000000" w:themeColor="text1"/>
          <w:sz w:val="22"/>
          <w:szCs w:val="22"/>
        </w:rPr>
        <w:t>ETAHS’nin</w:t>
      </w:r>
      <w:proofErr w:type="spellEnd"/>
      <w:r w:rsidRPr="00EB2DC8">
        <w:rPr>
          <w:rFonts w:ascii="Times New Roman" w:hAnsi="Times New Roman" w:cs="Times New Roman"/>
          <w:color w:val="000000" w:themeColor="text1"/>
          <w:sz w:val="22"/>
          <w:szCs w:val="22"/>
        </w:rPr>
        <w:t xml:space="preserve"> faaliyet gösterdiği alan, başkalarının ürün ve içeriklerini barındırmakla sınırlıdır; bu içerikler üzerinde mülkiyet veya doğrudan kontrol çoğunlukla platformda değildir.</w:t>
      </w:r>
    </w:p>
    <w:p w14:paraId="4B177221" w14:textId="77777777" w:rsidR="004D6D50" w:rsidRPr="00EB2DC8" w:rsidRDefault="004D6D50" w:rsidP="004D6D50">
      <w:pPr>
        <w:jc w:val="both"/>
        <w:rPr>
          <w:rFonts w:ascii="Times New Roman" w:hAnsi="Times New Roman" w:cs="Times New Roman"/>
          <w:b/>
          <w:bCs/>
          <w:color w:val="000000" w:themeColor="text1"/>
          <w:sz w:val="22"/>
          <w:szCs w:val="22"/>
        </w:rPr>
      </w:pPr>
      <w:r w:rsidRPr="00EB2DC8">
        <w:rPr>
          <w:rFonts w:ascii="Times New Roman" w:hAnsi="Times New Roman" w:cs="Times New Roman"/>
          <w:b/>
          <w:bCs/>
          <w:color w:val="000000" w:themeColor="text1"/>
          <w:sz w:val="22"/>
          <w:szCs w:val="22"/>
        </w:rPr>
        <w:t xml:space="preserve">İçerik Sorumluluğu Kavramı: </w:t>
      </w:r>
      <w:proofErr w:type="spellStart"/>
      <w:r w:rsidRPr="00EB2DC8">
        <w:rPr>
          <w:rFonts w:ascii="Times New Roman" w:hAnsi="Times New Roman" w:cs="Times New Roman"/>
          <w:b/>
          <w:bCs/>
          <w:color w:val="000000" w:themeColor="text1"/>
          <w:sz w:val="22"/>
          <w:szCs w:val="22"/>
        </w:rPr>
        <w:t>ETAHS’nin</w:t>
      </w:r>
      <w:proofErr w:type="spellEnd"/>
      <w:r w:rsidRPr="00EB2DC8">
        <w:rPr>
          <w:rFonts w:ascii="Times New Roman" w:hAnsi="Times New Roman" w:cs="Times New Roman"/>
          <w:b/>
          <w:bCs/>
          <w:color w:val="000000" w:themeColor="text1"/>
          <w:sz w:val="22"/>
          <w:szCs w:val="22"/>
        </w:rPr>
        <w:t xml:space="preserve"> Barındırdığı Ürün ve İçeriklere İlişkin Hukuki Sorumluluğu</w:t>
      </w:r>
    </w:p>
    <w:p w14:paraId="5D824B08" w14:textId="77777777" w:rsidR="004D6D50" w:rsidRPr="00EB2DC8" w:rsidRDefault="004D6D50" w:rsidP="004D6D50">
      <w:pPr>
        <w:jc w:val="both"/>
        <w:rPr>
          <w:rFonts w:ascii="Times New Roman" w:hAnsi="Times New Roman" w:cs="Times New Roman"/>
          <w:color w:val="000000" w:themeColor="text1"/>
          <w:sz w:val="22"/>
          <w:szCs w:val="22"/>
        </w:rPr>
      </w:pPr>
      <w:r w:rsidRPr="00EB2DC8">
        <w:rPr>
          <w:rFonts w:ascii="Times New Roman" w:hAnsi="Times New Roman" w:cs="Times New Roman"/>
          <w:b/>
          <w:bCs/>
          <w:color w:val="000000" w:themeColor="text1"/>
          <w:sz w:val="22"/>
          <w:szCs w:val="22"/>
        </w:rPr>
        <w:t>İçerik sorumluluğu</w:t>
      </w:r>
      <w:r w:rsidRPr="00EB2DC8">
        <w:rPr>
          <w:rFonts w:ascii="Times New Roman" w:hAnsi="Times New Roman" w:cs="Times New Roman"/>
          <w:color w:val="000000" w:themeColor="text1"/>
          <w:sz w:val="22"/>
          <w:szCs w:val="22"/>
        </w:rPr>
        <w:t>, internette yayımlanan içerikten doğan hukuki sorumluluğu ifade eder. Genel olarak Türk hukukunda 5651 sayılı İnternet Ortamında Yapılan Yayınların Düzenlenmesi ve Bu Yayınlar Yoluyla İşlenen Suçlarla Mücadele Edilmesi Hakkında Kanun (“</w:t>
      </w:r>
      <w:r w:rsidRPr="00EB2DC8">
        <w:rPr>
          <w:rFonts w:ascii="Times New Roman" w:hAnsi="Times New Roman" w:cs="Times New Roman"/>
          <w:b/>
          <w:bCs/>
          <w:color w:val="000000" w:themeColor="text1"/>
          <w:sz w:val="22"/>
          <w:szCs w:val="22"/>
        </w:rPr>
        <w:t>İnternet İçerikleri Kanunu</w:t>
      </w:r>
      <w:r w:rsidRPr="00EB2DC8">
        <w:rPr>
          <w:rFonts w:ascii="Times New Roman" w:hAnsi="Times New Roman" w:cs="Times New Roman"/>
          <w:color w:val="000000" w:themeColor="text1"/>
          <w:sz w:val="22"/>
          <w:szCs w:val="22"/>
        </w:rPr>
        <w:t xml:space="preserve">”) m.4 uyarınca, içerik sağlayıcı, internet ortamında kullanıma sunduğu her türlü içerikten sorumlu olduğu belirtilirken, yer sağlayıcılar yani barındırma hizmeti sunanlar başkalarının sağladığı içerikten kural olarak sorumlu tutulmamaktadır. E-ticaret platformları da bir tür yer sağlayıcı olduğu için, ETDK m.9 ve ilgili düzenlemeler uyarınca sunulan üçüncü kişi içeriklerinden dolayı kural olarak sorumlu değildir. Nitekim kanunda açıkça, </w:t>
      </w:r>
      <w:r w:rsidRPr="00EB2DC8">
        <w:rPr>
          <w:rFonts w:ascii="Times New Roman" w:hAnsi="Times New Roman" w:cs="Times New Roman"/>
          <w:i/>
          <w:iCs/>
          <w:color w:val="000000" w:themeColor="text1"/>
          <w:sz w:val="22"/>
          <w:szCs w:val="22"/>
        </w:rPr>
        <w:t>“</w:t>
      </w:r>
      <w:r w:rsidRPr="00EB2DC8">
        <w:rPr>
          <w:rFonts w:ascii="Times New Roman" w:hAnsi="Times New Roman" w:cs="Times New Roman"/>
          <w:color w:val="000000" w:themeColor="text1"/>
          <w:sz w:val="22"/>
          <w:szCs w:val="22"/>
        </w:rPr>
        <w:t>Aracı hizmet sağlayıcılar, hizmet sundukları elektronik ortamı kullanan kişiler tarafından sağlanan içerikleri kontrol etmek veya hukuka aykırı bir faaliyetin söz konusu olup olmadığını araştırmakla yükümlü değildir</w:t>
      </w:r>
      <w:r w:rsidRPr="00EB2DC8">
        <w:rPr>
          <w:rFonts w:ascii="Times New Roman" w:hAnsi="Times New Roman" w:cs="Times New Roman"/>
          <w:i/>
          <w:iCs/>
          <w:color w:val="000000" w:themeColor="text1"/>
          <w:sz w:val="22"/>
          <w:szCs w:val="22"/>
        </w:rPr>
        <w:t>”</w:t>
      </w:r>
      <w:r w:rsidRPr="00EB2DC8">
        <w:rPr>
          <w:rFonts w:ascii="Times New Roman" w:hAnsi="Times New Roman" w:cs="Times New Roman"/>
          <w:color w:val="000000" w:themeColor="text1"/>
          <w:sz w:val="22"/>
          <w:szCs w:val="22"/>
        </w:rPr>
        <w:t xml:space="preserve"> denilerek genel bir sorumsuzluk ilkesi ortaya konmuştur. Bu hüküm, platformlara genel bir denetleme yükümlülüğü yüklenmediğini göstermektedir.</w:t>
      </w:r>
    </w:p>
    <w:p w14:paraId="6A855316" w14:textId="77777777" w:rsidR="004D6D50" w:rsidRPr="00EB2DC8" w:rsidRDefault="004D6D50" w:rsidP="004D6D50">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 xml:space="preserve">Ancak bu sorumsuzluk ilkesi sınırsız ve mutlak değildir. Aracı hizmet sağlayıcı her ne kadar içeriği bizzat üretmeyen aracı konumunda olsa </w:t>
      </w:r>
      <w:proofErr w:type="gramStart"/>
      <w:r w:rsidRPr="00EB2DC8">
        <w:rPr>
          <w:rFonts w:ascii="Times New Roman" w:hAnsi="Times New Roman" w:cs="Times New Roman"/>
          <w:color w:val="000000" w:themeColor="text1"/>
          <w:sz w:val="22"/>
          <w:szCs w:val="22"/>
        </w:rPr>
        <w:t>da,</w:t>
      </w:r>
      <w:proofErr w:type="gramEnd"/>
      <w:r w:rsidRPr="00EB2DC8">
        <w:rPr>
          <w:rFonts w:ascii="Times New Roman" w:hAnsi="Times New Roman" w:cs="Times New Roman"/>
          <w:color w:val="000000" w:themeColor="text1"/>
          <w:sz w:val="22"/>
          <w:szCs w:val="22"/>
        </w:rPr>
        <w:t xml:space="preserve"> faaliyetlerinde basiretli bir tacir gibi özenli davranmak zorundadır Özellikle açıkça hukuka aykırı olan veya hak ihlali oluşturduğu somut delillerle ortaya konan içeriklere karşı bildirim aldığı halde hiçbir işlem yapmayan platformların sorumluluğu gündeme gelebilir. Bu durumda, Borçlar Kanunu genel hükümleri uyarınca haksız fiil sorumluluğu doğabileceği gibi, ETDK ve ilgili yönetmeliklerden kaynaklanan yükümlülüklerin ihlali de söz konusu olacaktır. Kısacası, e-ticaret platformlarının içerik sorumluluğu reaktif bir sorumluluk modeline dayalıdır: önceden denetleme yükümlülüğü yoktur, ancak haberdar olduktan sonra gerekli tedbirleri almazsa sorumluluk doğabilir.</w:t>
      </w:r>
    </w:p>
    <w:p w14:paraId="17D16363" w14:textId="77777777" w:rsidR="004D6D50" w:rsidRPr="00EB2DC8" w:rsidRDefault="004D6D50" w:rsidP="004D6D50">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lastRenderedPageBreak/>
        <w:t>Öte yandan, platformların tüketici hukuku kapsamında farklı bir sorumluluk zemini bulunduğunu belirtmek gerekir. 6502 sayılı Tüketicinin Korunması Hakkında Kanun (“</w:t>
      </w:r>
      <w:r w:rsidRPr="00EB2DC8">
        <w:rPr>
          <w:rFonts w:ascii="Times New Roman" w:hAnsi="Times New Roman" w:cs="Times New Roman"/>
          <w:b/>
          <w:bCs/>
          <w:color w:val="000000" w:themeColor="text1"/>
          <w:sz w:val="22"/>
          <w:szCs w:val="22"/>
        </w:rPr>
        <w:t>TKHK</w:t>
      </w:r>
      <w:r w:rsidRPr="00EB2DC8">
        <w:rPr>
          <w:rFonts w:ascii="Times New Roman" w:hAnsi="Times New Roman" w:cs="Times New Roman"/>
          <w:color w:val="000000" w:themeColor="text1"/>
          <w:sz w:val="22"/>
          <w:szCs w:val="22"/>
        </w:rPr>
        <w:t>”) m.48/5, internet aracılık platformlarını, satıcı/sağlayıcı adına mesafeli satış sözleşmesi kurulmasına aracılık ettikleri ve bedel tahsil ettikleri ölçüde, tüketiciye karşı belirli yükümlülüklerden sorumlu tutmaktadır. Nitekim Yargıtay, yeni içtihatlarında ayıplı mal durumunda tüketiciye karşı alışveriş sitesi ile satıcının birlikte sorumlu olacağına karar vermiştir. Özellikle platform, ödeme altyapısını sağlayıp tüketiciden bedeli tahsil ediyorsa, tüketiciye karşı satıcıyla birlikte ayıptan sorumlu sayılmaktadır. Bu gelişme, aracı hizmet sağlayıcının içerik sorumluluğunun tüketici hukuku boyutunda genişleyebildiğini göstermektedir.</w:t>
      </w:r>
    </w:p>
    <w:p w14:paraId="56DE921F" w14:textId="77777777" w:rsidR="004D6D50" w:rsidRPr="00EB2DC8" w:rsidRDefault="004D6D50" w:rsidP="004D6D50">
      <w:pPr>
        <w:jc w:val="both"/>
        <w:rPr>
          <w:rFonts w:ascii="Times New Roman" w:hAnsi="Times New Roman" w:cs="Times New Roman"/>
          <w:b/>
          <w:bCs/>
          <w:color w:val="000000" w:themeColor="text1"/>
          <w:sz w:val="22"/>
          <w:szCs w:val="22"/>
        </w:rPr>
      </w:pPr>
      <w:r w:rsidRPr="00EB2DC8">
        <w:rPr>
          <w:rFonts w:ascii="Times New Roman" w:hAnsi="Times New Roman" w:cs="Times New Roman"/>
          <w:b/>
          <w:bCs/>
          <w:color w:val="000000" w:themeColor="text1"/>
          <w:sz w:val="22"/>
          <w:szCs w:val="22"/>
        </w:rPr>
        <w:t>Hukuka Aykırı İçeriklerin Platformlarda Yayınlanması Durumunda Doğan Yükümlülükler</w:t>
      </w:r>
    </w:p>
    <w:p w14:paraId="3398A234" w14:textId="77777777" w:rsidR="004D6D50" w:rsidRPr="00EB2DC8" w:rsidRDefault="004D6D50" w:rsidP="004D6D50">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 xml:space="preserve">Platformlarda hukuka aykırı içerik (örneğin taklit marka ürünler, yanıltıcı reklamlar, telif ihlali, yasa dışı ürünler) yayınlandığında, aracı hizmet sağlayıcıların belirli yükümlülükleri tetiklenir. ETAHS Yönetmeliği, bu yükümlülükleri açıkça düzenlemiştir. Yönetmelik’in 10. maddesi, </w:t>
      </w:r>
      <w:r w:rsidRPr="00EB2DC8">
        <w:rPr>
          <w:rFonts w:ascii="Times New Roman" w:hAnsi="Times New Roman" w:cs="Times New Roman"/>
          <w:i/>
          <w:iCs/>
          <w:color w:val="000000" w:themeColor="text1"/>
          <w:sz w:val="22"/>
          <w:szCs w:val="22"/>
        </w:rPr>
        <w:t>“Diğer kanunlarda aksine hüküm bulunmadıkça ETAHS, ETHS tarafından sunulan içerik ve içeriğe konu mal veya hizmetle ilgili hukuka aykırı hususlardan sorumlu değildir”</w:t>
      </w:r>
      <w:r w:rsidRPr="00EB2DC8">
        <w:rPr>
          <w:rFonts w:ascii="Times New Roman" w:hAnsi="Times New Roman" w:cs="Times New Roman"/>
          <w:color w:val="000000" w:themeColor="text1"/>
          <w:sz w:val="22"/>
          <w:szCs w:val="22"/>
        </w:rPr>
        <w:t xml:space="preserve"> diyerek genel ilkeyi yineledikten sonra; platformun hukuka aykırı içerikten haberdar olması halinde ivedilikle (en geç 48 saat içinde) ilgili içeriği yayından kaldırması ve durumu gerekçesiyle birlikte satıcıya yani hizmet sağlayıcıya ve ilgili kamu kurumlarına bildirmesi gerektiğini emretmektedir. Bu bildirim yükümlülüğü hem platformdaki satıcının hem de örneğin Ticaret Bakanlığı gibi ilgili otoritenin durumdan haberdar edilmesini sağlayarak, hukuka aykırı içeriğin süratle engellenmesini amaçlar.</w:t>
      </w:r>
    </w:p>
    <w:p w14:paraId="019370CC" w14:textId="77777777" w:rsidR="004D6D50" w:rsidRPr="00EB2DC8" w:rsidRDefault="004D6D50" w:rsidP="004D6D50">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Platformun bir içeriğin hukuka aykırılığından haberdar sayıldığı haller de aynı düzenlemede tanımlanmıştır. ETAHS Yönetmeliği m.10/3’e göre, platformun hazırlamakla yükümlü olduğu mevzuata uygunluk raporu çerçevesinde kendi tespitiyle ortaya çıkan hukuka aykırı durumlar, bir yargı kararının platforma bildirilmesi veya Bakanlığın ya da diğer kamu kurumlarının bildirimde bulunması hallerinde, ETAHS hukuka aykırı içerikten haberdar olmuş kabul edilir. Örneğin, Ticaret Bakanlığı’nın denetimleri sonucu bir platformda sahte veya yasaklı bir ürün tespit edilip bildirilirse, platform artık bu içerikten haberdardır ve 48 saat içinde kaldırmazsa sorumluluk doğacaktır.</w:t>
      </w:r>
    </w:p>
    <w:p w14:paraId="105AF5AA" w14:textId="77777777" w:rsidR="004D6D50" w:rsidRPr="00EB2DC8" w:rsidRDefault="004D6D50" w:rsidP="004D6D50">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 xml:space="preserve">Fikri ve sınai mülkiyet hakkı ihlalleri bakımından, ETDK md.9 ve ETAHS Yönetmeliği m.12-14 özel bir “bildirim-itiraz” prosedürü öngörmüştür. Hak sahibi, marka veya telif hakkı ihlaline dair bilgi ve belgelerle birlikte platforma şikâyette bulunduğunda, ETAHS en geç 48 saat içinde ihlâle konu ürünü yayından kaldırmak ve durumu satıcıya ve hak sahibine bildirmekle yükümlüdür. Satıcı yani hizmet sağlayıcı ise </w:t>
      </w:r>
      <w:proofErr w:type="gramStart"/>
      <w:r w:rsidRPr="00EB2DC8">
        <w:rPr>
          <w:rFonts w:ascii="Times New Roman" w:hAnsi="Times New Roman" w:cs="Times New Roman"/>
          <w:color w:val="000000" w:themeColor="text1"/>
          <w:sz w:val="22"/>
          <w:szCs w:val="22"/>
        </w:rPr>
        <w:t>şikayetin</w:t>
      </w:r>
      <w:proofErr w:type="gramEnd"/>
      <w:r w:rsidRPr="00EB2DC8">
        <w:rPr>
          <w:rFonts w:ascii="Times New Roman" w:hAnsi="Times New Roman" w:cs="Times New Roman"/>
          <w:color w:val="000000" w:themeColor="text1"/>
          <w:sz w:val="22"/>
          <w:szCs w:val="22"/>
        </w:rPr>
        <w:t xml:space="preserve"> aksini ispatlayan bilgi-belge ile itiraz ederse, platform ürünü yeniden yayına koyar. Bu süreçte tüm tarafların kimlik ve adres bilgileri, ürün linki, ihlal gerekçesi gibi hususlar kayda geçirilir. Hak sahibinin itiraz üzerine yeni deliller sunmaması halinde, aynı ürün hakkında tekrar şikâyet yapılamayacağı da ETAHS Yönetmeliği m.14/2’de düzenlenmiştir. Bu mekanizma, platformları fikri mülkiyet ihlallerine karşı aktif bir arabulucu rolüne sokmuştur: Platform, artık salt teknik bir pazar yeri olmayıp, hak sahibinin talebiyle içerik kaldıran ve gerekirse yeniden yayınlayan bir aktördür.</w:t>
      </w:r>
    </w:p>
    <w:p w14:paraId="0C8F2D0A" w14:textId="77777777" w:rsidR="004D6D50" w:rsidRPr="00EB2DC8" w:rsidRDefault="004D6D50" w:rsidP="004D6D50">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 xml:space="preserve">Diğer hukuka aykırı içerikler yönünden de benzer şekilde “uyar-kaldır” yükümlülüğü geçerlidir. Örneğin, yanıltıcı reklam veya haksız rekabet teşkil eden içerikler tespit edildiğinde, Bakanlığın yeni düzenlemeleri platformların hızla müdahalesini şart koşmaktadır. Yakın tarihli bir değişiklikle, bir e-ticaret platformunun rakip bir işletmenin tescilli markasını izin almadan reklam anahtar kelimesi olarak kullanması yasaklanmış ve Bakanlık tespiti halinde 24 saat içinde bu ihlalin giderilmesi zorunluluğu getirilmiştir; aksi takdirde idari yaptırım uygulanacağı açıkça hükme bağlanmıştır. Dolayısıyla, taklit ürün satışı, aldatıcı bilgiler, yasa dışı ürün pazarlaması gibi durumlarda platformlar ya hak sahiplerinin bildirimleri yoluyla ya da resen kamu otoritelerinin uyarılarıyla hızla içerik kaldırma, ilgili satıcının faaliyetini durdurma ve gerekli teknik önlemleri alma yükümlülüğü altına girmektedir. Bu </w:t>
      </w:r>
      <w:r w:rsidRPr="00EB2DC8">
        <w:rPr>
          <w:rFonts w:ascii="Times New Roman" w:hAnsi="Times New Roman" w:cs="Times New Roman"/>
          <w:color w:val="000000" w:themeColor="text1"/>
          <w:sz w:val="22"/>
          <w:szCs w:val="22"/>
        </w:rPr>
        <w:lastRenderedPageBreak/>
        <w:t>yükümlülüklere uymayan platformlar hakkında, ETDK m.12 uyarınca idari para cezaları ve yaptırımlar gündeme gelebilecektir.</w:t>
      </w:r>
    </w:p>
    <w:p w14:paraId="6BBF9309" w14:textId="77777777" w:rsidR="004D6D50" w:rsidRPr="00EB2DC8" w:rsidRDefault="004D6D50" w:rsidP="004D6D50">
      <w:pPr>
        <w:jc w:val="both"/>
        <w:rPr>
          <w:rFonts w:ascii="Times New Roman" w:hAnsi="Times New Roman" w:cs="Times New Roman"/>
          <w:b/>
          <w:bCs/>
          <w:color w:val="000000" w:themeColor="text1"/>
          <w:sz w:val="22"/>
          <w:szCs w:val="22"/>
        </w:rPr>
      </w:pPr>
      <w:r w:rsidRPr="00EB2DC8">
        <w:rPr>
          <w:rFonts w:ascii="Times New Roman" w:hAnsi="Times New Roman" w:cs="Times New Roman"/>
          <w:b/>
          <w:bCs/>
          <w:color w:val="000000" w:themeColor="text1"/>
          <w:sz w:val="22"/>
          <w:szCs w:val="22"/>
        </w:rPr>
        <w:t>İnternet İçerikleri Kanunu ile E-ticaret Mevzuatının İçerik Kaldırma, Bildirim ve Teknik Önlemler Kapsamında Kesişimi</w:t>
      </w:r>
    </w:p>
    <w:p w14:paraId="2F78C3E2" w14:textId="77777777" w:rsidR="004D6D50" w:rsidRPr="00EB2DC8" w:rsidRDefault="004D6D50" w:rsidP="004D6D50">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Türkiye’de çevrimiçi içeriklere uygulanacak genel hukuk rejimi, İnternet İçerikleri Kanunu ile e-ticaret özel mevzuatı arasında bazı kesişim noktalarına sahiptir. 5651 sayılı işbu kanun, internette suç teşkil eden içeriklerle mücadele için erişimin engellenmesi ve içeriğin yayından çıkarılması mekanizmalarını düzenlerken; aynı zamanda içerik sağlayıcı, yer sağlayıcı, erişim sağlayıcı gibi internet aktörlerinin de sorumluluk sınırlarını da çizer. Bu kapsamda, e-ticaret platformları genellikle “yer sağlayıcı” statüsünde değerlendirilebilir; zira kullanıcıların sağladığı içerikleri barındırmaktadırlar. İnternet İçerikleri Kanunu md.5 uyarınca yer sağlayıcıların, barındırdıkları içerikleri kontrol etme veya hukuka aykırılıkları araştırma yükümlülüğü bulunmamaktadır. Bu hüküm, ETDK m.9(1) ile içerik sorumluluğu bakımından paraleldir ve platformlara genel bir izleme zorunluluğu getirmemektedir.</w:t>
      </w:r>
    </w:p>
    <w:p w14:paraId="46FF7DDB" w14:textId="77777777" w:rsidR="004D6D50" w:rsidRPr="00EB2DC8" w:rsidRDefault="004D6D50" w:rsidP="004D6D50">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 xml:space="preserve">Öte yandan İnternet İçerikleri Kanunu, hukuka aykırı içeriklerle mücadelede bildirim ve kaldırma (uyar-kaldır) prosedürünü Türk hukuk literatürüne kazandırmıştır. Her ne kadar İnternet İçerikleri Kanunu sayılı Kanun’daki katalog suçlar (m.8 ve 9 kapsamındaki içerikler) fikri mülkiyet ihlallerini veya ticari uyuşmazlıkları içermese </w:t>
      </w:r>
      <w:proofErr w:type="gramStart"/>
      <w:r w:rsidRPr="00EB2DC8">
        <w:rPr>
          <w:rFonts w:ascii="Times New Roman" w:hAnsi="Times New Roman" w:cs="Times New Roman"/>
          <w:color w:val="000000" w:themeColor="text1"/>
          <w:sz w:val="22"/>
          <w:szCs w:val="22"/>
        </w:rPr>
        <w:t>de,</w:t>
      </w:r>
      <w:proofErr w:type="gramEnd"/>
      <w:r w:rsidRPr="00EB2DC8">
        <w:rPr>
          <w:rFonts w:ascii="Times New Roman" w:hAnsi="Times New Roman" w:cs="Times New Roman"/>
          <w:color w:val="000000" w:themeColor="text1"/>
          <w:sz w:val="22"/>
          <w:szCs w:val="22"/>
        </w:rPr>
        <w:t xml:space="preserve"> ilke olarak üçüncü kişilerin başvurusuyla yer sağlayıcının uyarılması ve içeriğin kaldırılması müessesesi </w:t>
      </w:r>
      <w:proofErr w:type="gramStart"/>
      <w:r w:rsidRPr="00EB2DC8">
        <w:rPr>
          <w:rFonts w:ascii="Times New Roman" w:hAnsi="Times New Roman" w:cs="Times New Roman"/>
          <w:color w:val="000000" w:themeColor="text1"/>
          <w:sz w:val="22"/>
          <w:szCs w:val="22"/>
        </w:rPr>
        <w:t>doktrinde</w:t>
      </w:r>
      <w:proofErr w:type="gramEnd"/>
      <w:r w:rsidRPr="00EB2DC8">
        <w:rPr>
          <w:rFonts w:ascii="Times New Roman" w:hAnsi="Times New Roman" w:cs="Times New Roman"/>
          <w:color w:val="000000" w:themeColor="text1"/>
          <w:sz w:val="22"/>
          <w:szCs w:val="22"/>
        </w:rPr>
        <w:t xml:space="preserve"> kabul görmüştür. Yargıtay </w:t>
      </w:r>
      <w:proofErr w:type="gramStart"/>
      <w:r w:rsidRPr="00EB2DC8">
        <w:rPr>
          <w:rFonts w:ascii="Times New Roman" w:hAnsi="Times New Roman" w:cs="Times New Roman"/>
          <w:color w:val="000000" w:themeColor="text1"/>
          <w:sz w:val="22"/>
          <w:szCs w:val="22"/>
        </w:rPr>
        <w:t>da,</w:t>
      </w:r>
      <w:proofErr w:type="gramEnd"/>
      <w:r w:rsidRPr="00EB2DC8">
        <w:rPr>
          <w:rFonts w:ascii="Times New Roman" w:hAnsi="Times New Roman" w:cs="Times New Roman"/>
          <w:color w:val="000000" w:themeColor="text1"/>
          <w:sz w:val="22"/>
          <w:szCs w:val="22"/>
        </w:rPr>
        <w:t xml:space="preserve"> yer/aracı hizmet sağlayıcıların hukuka aykırı içeriklerden dolayı tazminat sorumluluğuna gidebilmek için “sağladıkları içeriğin hukuka aykırı olduğunu bilmeleri” gerektiğini, bu bilme unsurunun gerçekleşmesi için hak sahiplerince uyarılmış olmalarının ve içeriğin makul sürede kaldırılmasının talep edilmesinin şart olduğunu vurgulamıştır. Bu yaklaşım,  İnternet İçerikleri Kanunu ve </w:t>
      </w:r>
      <w:proofErr w:type="spellStart"/>
      <w:r w:rsidRPr="00EB2DC8">
        <w:rPr>
          <w:rFonts w:ascii="Times New Roman" w:hAnsi="Times New Roman" w:cs="Times New Roman"/>
          <w:color w:val="000000" w:themeColor="text1"/>
          <w:sz w:val="22"/>
          <w:szCs w:val="22"/>
        </w:rPr>
        <w:t>ETDK’nın</w:t>
      </w:r>
      <w:proofErr w:type="spellEnd"/>
      <w:r w:rsidRPr="00EB2DC8">
        <w:rPr>
          <w:rFonts w:ascii="Times New Roman" w:hAnsi="Times New Roman" w:cs="Times New Roman"/>
          <w:color w:val="000000" w:themeColor="text1"/>
          <w:sz w:val="22"/>
          <w:szCs w:val="22"/>
        </w:rPr>
        <w:t xml:space="preserve"> ortak noktasını oluşturur: Platformlar, hukuka aykırılıktan haberdar edilir edilmez içeriği kaldırmazsa sorumluluk doğar.</w:t>
      </w:r>
    </w:p>
    <w:p w14:paraId="528C22B5" w14:textId="77777777" w:rsidR="004D6D50" w:rsidRPr="00EB2DC8" w:rsidRDefault="004D6D50" w:rsidP="004D6D50">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 xml:space="preserve">Kesişim noktalarından bir diğeri, erişimin engellenmesi gibi teknik önlemlerdir. E-ticaret özelinde, hukuka aykırı bir ürün listesine öncelikle platform düzeyinde yayından kaldırma uygulanır. Ancak platform bu yükümlülüğe uymazsa veya ihlal yaygınsa, İnternet İçerikleri Kanunu’nun öngördüğü biçimde hâkim kararıyla erişimin engellenmesi de gündeme gelebilir. Nitekim ilk derece mahkemelerinde, fikri mülkiyet ihlali iddiasıyla ilgili ilanların yayınının tedbiren durdurulması veya sitenin ilgili bölümlerine erişimin engellenmesi talepleri görülmüştür. Yargı, doğrudan platformun kapatılmasını genellikle ölçüsüz bulsa </w:t>
      </w:r>
      <w:proofErr w:type="gramStart"/>
      <w:r w:rsidRPr="00EB2DC8">
        <w:rPr>
          <w:rFonts w:ascii="Times New Roman" w:hAnsi="Times New Roman" w:cs="Times New Roman"/>
          <w:color w:val="000000" w:themeColor="text1"/>
          <w:sz w:val="22"/>
          <w:szCs w:val="22"/>
        </w:rPr>
        <w:t>da,</w:t>
      </w:r>
      <w:proofErr w:type="gramEnd"/>
      <w:r w:rsidRPr="00EB2DC8">
        <w:rPr>
          <w:rFonts w:ascii="Times New Roman" w:hAnsi="Times New Roman" w:cs="Times New Roman"/>
          <w:color w:val="000000" w:themeColor="text1"/>
          <w:sz w:val="22"/>
          <w:szCs w:val="22"/>
        </w:rPr>
        <w:t xml:space="preserve"> somut ihlale yönelik erişim engelleme bir teknik önlem olarak kullanılabilir. Bunun yanı sıra, büyük platformlar ihlalleri önlemek adına kendi bünyelerinde filtreleme, anahtar kelime engelleme gibi teknik sistemler geliştirebilmektedir (örneğin otomatik telif denetimleri, marka isimlerinin izinsiz kullanımını engelleyen yazılımlar). Hukuk düzeni platformları genel bir filtreleme yapmaya zorlamasa </w:t>
      </w:r>
      <w:proofErr w:type="gramStart"/>
      <w:r w:rsidRPr="00EB2DC8">
        <w:rPr>
          <w:rFonts w:ascii="Times New Roman" w:hAnsi="Times New Roman" w:cs="Times New Roman"/>
          <w:color w:val="000000" w:themeColor="text1"/>
          <w:sz w:val="22"/>
          <w:szCs w:val="22"/>
        </w:rPr>
        <w:t>da,</w:t>
      </w:r>
      <w:proofErr w:type="gramEnd"/>
      <w:r w:rsidRPr="00EB2DC8">
        <w:rPr>
          <w:rFonts w:ascii="Times New Roman" w:hAnsi="Times New Roman" w:cs="Times New Roman"/>
          <w:color w:val="000000" w:themeColor="text1"/>
          <w:sz w:val="22"/>
          <w:szCs w:val="22"/>
        </w:rPr>
        <w:t xml:space="preserve"> “kendi geliştirdikleri sistem çerçevesinde hukuka aykırı faaliyetleri önlemeye yönelik tedbirler almak” yolunda teşvik etmektedir. </w:t>
      </w:r>
    </w:p>
    <w:p w14:paraId="651C6606" w14:textId="77777777" w:rsidR="004D6D50" w:rsidRPr="00EB2DC8" w:rsidRDefault="004D6D50" w:rsidP="004D6D50">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 xml:space="preserve">Özetle, İnternet İçerikleri Kanunu ile e-ticaret mevzuatı, “bildirim üzerine içerik kaldırma” ilkesi ekseninde birleşmektedir. Platformlar suç oluşturan veya hukuka aykırı içeriklere ilişkin resmi bildirim aldıklarında, İnternet İçerikleri Kanunu’na göre derhal erişimi engelleme/kaldırma yükümlülüğü; </w:t>
      </w:r>
      <w:proofErr w:type="spellStart"/>
      <w:r w:rsidRPr="00EB2DC8">
        <w:rPr>
          <w:rFonts w:ascii="Times New Roman" w:hAnsi="Times New Roman" w:cs="Times New Roman"/>
          <w:color w:val="000000" w:themeColor="text1"/>
          <w:sz w:val="22"/>
          <w:szCs w:val="22"/>
        </w:rPr>
        <w:t>ETDK’ya</w:t>
      </w:r>
      <w:proofErr w:type="spellEnd"/>
      <w:r w:rsidRPr="00EB2DC8">
        <w:rPr>
          <w:rFonts w:ascii="Times New Roman" w:hAnsi="Times New Roman" w:cs="Times New Roman"/>
          <w:color w:val="000000" w:themeColor="text1"/>
          <w:sz w:val="22"/>
          <w:szCs w:val="22"/>
        </w:rPr>
        <w:t xml:space="preserve"> ve Yönetmelik’e göre ise en geç 48 saat içinde yayından çıkarma yükümlülüğü altındadır. Her iki rejim de platformların </w:t>
      </w:r>
      <w:proofErr w:type="gramStart"/>
      <w:r w:rsidRPr="00EB2DC8">
        <w:rPr>
          <w:rFonts w:ascii="Times New Roman" w:hAnsi="Times New Roman" w:cs="Times New Roman"/>
          <w:color w:val="000000" w:themeColor="text1"/>
          <w:sz w:val="22"/>
          <w:szCs w:val="22"/>
        </w:rPr>
        <w:t>işbirliği</w:t>
      </w:r>
      <w:proofErr w:type="gramEnd"/>
      <w:r w:rsidRPr="00EB2DC8">
        <w:rPr>
          <w:rFonts w:ascii="Times New Roman" w:hAnsi="Times New Roman" w:cs="Times New Roman"/>
          <w:color w:val="000000" w:themeColor="text1"/>
          <w:sz w:val="22"/>
          <w:szCs w:val="22"/>
        </w:rPr>
        <w:t xml:space="preserve"> yapmasını, aksi halde yaptırımlarla karşılaşmasını öngörür. Bu sayede, dijital ortamdaki illegal içerikle mücadelede hem hukuki (uyuşmazlık çözümü, tazminat) hem de teknik (erişim engeli, filtreleme) önlemler bir arada işletilmektedir.</w:t>
      </w:r>
    </w:p>
    <w:p w14:paraId="636343C5" w14:textId="77777777" w:rsidR="00775ACD" w:rsidRPr="00EB2DC8" w:rsidRDefault="00775ACD" w:rsidP="004D6D50">
      <w:pPr>
        <w:jc w:val="both"/>
        <w:rPr>
          <w:rFonts w:ascii="Times New Roman" w:hAnsi="Times New Roman" w:cs="Times New Roman"/>
          <w:color w:val="000000" w:themeColor="text1"/>
          <w:sz w:val="22"/>
          <w:szCs w:val="22"/>
        </w:rPr>
      </w:pPr>
    </w:p>
    <w:p w14:paraId="16FAEC2A" w14:textId="77777777" w:rsidR="00775ACD" w:rsidRPr="00EB2DC8" w:rsidRDefault="00775ACD" w:rsidP="004D6D50">
      <w:pPr>
        <w:jc w:val="both"/>
        <w:rPr>
          <w:rFonts w:ascii="Times New Roman" w:hAnsi="Times New Roman" w:cs="Times New Roman"/>
          <w:color w:val="000000" w:themeColor="text1"/>
          <w:sz w:val="22"/>
          <w:szCs w:val="22"/>
        </w:rPr>
      </w:pPr>
    </w:p>
    <w:p w14:paraId="0D82E014" w14:textId="77777777" w:rsidR="004D6D50" w:rsidRPr="00EB2DC8" w:rsidRDefault="004D6D50" w:rsidP="004D6D50">
      <w:pPr>
        <w:jc w:val="both"/>
        <w:rPr>
          <w:rFonts w:ascii="Times New Roman" w:hAnsi="Times New Roman" w:cs="Times New Roman"/>
          <w:b/>
          <w:bCs/>
          <w:color w:val="000000" w:themeColor="text1"/>
          <w:sz w:val="22"/>
          <w:szCs w:val="22"/>
        </w:rPr>
      </w:pPr>
      <w:r w:rsidRPr="00EB2DC8">
        <w:rPr>
          <w:rFonts w:ascii="Times New Roman" w:hAnsi="Times New Roman" w:cs="Times New Roman"/>
          <w:b/>
          <w:bCs/>
          <w:color w:val="000000" w:themeColor="text1"/>
          <w:sz w:val="22"/>
          <w:szCs w:val="22"/>
        </w:rPr>
        <w:lastRenderedPageBreak/>
        <w:t>Aracı Hizmet Sağlayıcının Denetim ve Müdahale Yükümlülüğü</w:t>
      </w:r>
    </w:p>
    <w:p w14:paraId="70DB2851" w14:textId="77777777" w:rsidR="004D6D50" w:rsidRPr="00EB2DC8" w:rsidRDefault="004D6D50" w:rsidP="004D6D50">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 xml:space="preserve">Mevzuatın çizdiği çerçeveye göre, e-ticaret aracı hizmet sağlayıcılarının içerik denetimi konusunda genel yükümlülüğü pasif niteliktedir. Yani platformlar proaktif bir şekilde tüm içerikleri önceden denetlemek zorunda değildir ve hukuka aykırı fiilleri araştırma görevi de yoktur </w:t>
      </w:r>
      <w:proofErr w:type="gramStart"/>
      <w:r w:rsidRPr="00EB2DC8">
        <w:rPr>
          <w:rFonts w:ascii="Times New Roman" w:hAnsi="Times New Roman" w:cs="Times New Roman"/>
          <w:color w:val="000000" w:themeColor="text1"/>
          <w:sz w:val="22"/>
          <w:szCs w:val="22"/>
        </w:rPr>
        <w:t>Bu</w:t>
      </w:r>
      <w:proofErr w:type="gramEnd"/>
      <w:r w:rsidRPr="00EB2DC8">
        <w:rPr>
          <w:rFonts w:ascii="Times New Roman" w:hAnsi="Times New Roman" w:cs="Times New Roman"/>
          <w:color w:val="000000" w:themeColor="text1"/>
          <w:sz w:val="22"/>
          <w:szCs w:val="22"/>
        </w:rPr>
        <w:t xml:space="preserve"> kural, internet ekonomisinin işleyişi açısından önemlidir; zira milyonlarca ürün ve ilan barındıran platformlarda her içeriği önceden filtrelemek hem teknik olarak zor hem de hukuken “genel gözetim yükümlülüğü” getirilmesi ifade özgürlüğü ve ticari hayatın dinamizmiyle bağdaşmayacaktır. </w:t>
      </w:r>
    </w:p>
    <w:p w14:paraId="22A6AF74" w14:textId="77777777" w:rsidR="004D6D50" w:rsidRPr="00EB2DC8" w:rsidRDefault="004D6D50" w:rsidP="004D6D50">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Buna karşılık, belirli durumlarda aktif müdahale gerekebilmektedir. Proaktif izleme yükümlülüğü olmasa da platformların kendi sistemlerini kötüye kullanım riskine karşı donatmaları beklenir. Örneğin ETAHS Yönetmeliği uyarınca çok büyük ölçekli platformlar, her yıl hazırlayacakları mevzuata uygunluk raporlarında hukuka aykırı içerik risklerini değerlendirip gerekli tedbirleri almalıdır. Yine fikri mülkiyet ihlalleri bakımından platformların şikâyet gelmesini beklemeden, marka sahipleriyle iş birliği içinde sahte ürünlerin tespitini kolaylaştıran araçlar geliştirdikleri görülmektedir. Uygulamada bazı e-ticaret şirketleri, yapay zekâ tabanlı görüntü tanıma veya anahtar kelime filtreleme sistemlerini kullanarak bariz telif veya marka ihlallerini proaktif biçimde yakalamaya çalışmaktadır. Yasal zorunluluk reaktif olsa da sektörde etik ve müşteri güveni kaygıları platformları daha proaktif davranmaya yönlendirebilir.</w:t>
      </w:r>
    </w:p>
    <w:p w14:paraId="6FA5AAB6" w14:textId="77777777" w:rsidR="004D6D50" w:rsidRPr="00EB2DC8" w:rsidRDefault="004D6D50" w:rsidP="004D6D50">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 xml:space="preserve">Özellikle tekrar eden ihlaller söz konusuysa, tamamen pasif kalmak platform açısından risk yaratır. Örneğin, daha önce sahte ürün sattığı tespit edilen bir satıcının aynı fiili tekrarlaması halinde, ilk ihbardan sonra platformun haberdar olduğu varsayılabilecektir. </w:t>
      </w:r>
      <w:proofErr w:type="gramStart"/>
      <w:r w:rsidRPr="00EB2DC8">
        <w:rPr>
          <w:rFonts w:ascii="Times New Roman" w:hAnsi="Times New Roman" w:cs="Times New Roman"/>
          <w:color w:val="000000" w:themeColor="text1"/>
          <w:sz w:val="22"/>
          <w:szCs w:val="22"/>
        </w:rPr>
        <w:t>Doktrinde</w:t>
      </w:r>
      <w:proofErr w:type="gramEnd"/>
      <w:r w:rsidRPr="00EB2DC8">
        <w:rPr>
          <w:rFonts w:ascii="Times New Roman" w:hAnsi="Times New Roman" w:cs="Times New Roman"/>
          <w:color w:val="000000" w:themeColor="text1"/>
          <w:sz w:val="22"/>
          <w:szCs w:val="22"/>
        </w:rPr>
        <w:t xml:space="preserve">, açıkça hukuka aykırı olduğu belli olan durumlarda uyarı beklemeden de platformun müdahale etmesi gerektiği savunulmaktadır; aksi takdirde artık “bilmezden gelme” hali kusur sayılabilir. Sonuç olarak, aracı hizmet sağlayıcının denetim ve müdahale yükümlülüğü genel anlamda pasif (reaktif) olmakla beraber, özen yükümlülüğü çerçevesinde belirli koşullarda kısmen proaktif adımlar atması gerekebilmektedir. Mevzuat, proaktif sürekli izlemeyi şart koşmasa </w:t>
      </w:r>
      <w:proofErr w:type="gramStart"/>
      <w:r w:rsidRPr="00EB2DC8">
        <w:rPr>
          <w:rFonts w:ascii="Times New Roman" w:hAnsi="Times New Roman" w:cs="Times New Roman"/>
          <w:color w:val="000000" w:themeColor="text1"/>
          <w:sz w:val="22"/>
          <w:szCs w:val="22"/>
        </w:rPr>
        <w:t>da,</w:t>
      </w:r>
      <w:proofErr w:type="gramEnd"/>
      <w:r w:rsidRPr="00EB2DC8">
        <w:rPr>
          <w:rFonts w:ascii="Times New Roman" w:hAnsi="Times New Roman" w:cs="Times New Roman"/>
          <w:color w:val="000000" w:themeColor="text1"/>
          <w:sz w:val="22"/>
          <w:szCs w:val="22"/>
        </w:rPr>
        <w:t xml:space="preserve"> ihlalleri önleyici sistem kurma, uyarı mekanizmaları işletme ve </w:t>
      </w:r>
      <w:proofErr w:type="gramStart"/>
      <w:r w:rsidRPr="00EB2DC8">
        <w:rPr>
          <w:rFonts w:ascii="Times New Roman" w:hAnsi="Times New Roman" w:cs="Times New Roman"/>
          <w:color w:val="000000" w:themeColor="text1"/>
          <w:sz w:val="22"/>
          <w:szCs w:val="22"/>
        </w:rPr>
        <w:t>işbirliğine</w:t>
      </w:r>
      <w:proofErr w:type="gramEnd"/>
      <w:r w:rsidRPr="00EB2DC8">
        <w:rPr>
          <w:rFonts w:ascii="Times New Roman" w:hAnsi="Times New Roman" w:cs="Times New Roman"/>
          <w:color w:val="000000" w:themeColor="text1"/>
          <w:sz w:val="22"/>
          <w:szCs w:val="22"/>
        </w:rPr>
        <w:t xml:space="preserve"> gitme gibi konularda platformlara yükümlülükler yüklemektedir.</w:t>
      </w:r>
    </w:p>
    <w:p w14:paraId="41930373" w14:textId="77777777" w:rsidR="004D6D50" w:rsidRPr="00EB2DC8" w:rsidRDefault="004D6D50" w:rsidP="004D6D50">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Sonuç olarak, e-ticaret platformlarının içerik sorumluluğu alanı, ülkemizde hem ulusal düzenlemeler hem de yargı kararlarıyla ayrıntılı bir çerçeveye kavuşmuştur. Platformlar, kullanıcılarca sağlanan içerikler bakımından proaktif denetçi olmasalar da hukuka aykırı içerikle mücadelede kilit rol oynarlar. Türk hukuku, ETDK ve İnternet İçerikleri Kanunu ekseninde, AB hukukundakine benzer şekilde platformları belirli koşullarda sorumlu tutarak hem ifade ve ticaret özgürlüğünü hem de hak sahiplerinin ve tüketicilerin korunmasını dengelemeye çalışmaktadır. Bu denge, devam eden yargı içtihatları ve mevzuat gelişmeleri ile şekillenmeye devam edecektir.</w:t>
      </w:r>
    </w:p>
    <w:p w14:paraId="47DEC4EA" w14:textId="77777777" w:rsidR="001357B2" w:rsidRPr="00EB2DC8" w:rsidRDefault="001357B2" w:rsidP="001357B2">
      <w:pPr>
        <w:tabs>
          <w:tab w:val="num" w:pos="567"/>
        </w:tabs>
        <w:spacing w:after="0" w:line="276" w:lineRule="auto"/>
        <w:jc w:val="both"/>
        <w:rPr>
          <w:rFonts w:ascii="Times New Roman" w:hAnsi="Times New Roman" w:cs="Times New Roman"/>
          <w:b/>
          <w:bCs/>
          <w:sz w:val="22"/>
          <w:szCs w:val="22"/>
        </w:rPr>
      </w:pPr>
    </w:p>
    <w:p w14:paraId="08F25B38" w14:textId="77777777" w:rsidR="004D6D50" w:rsidRPr="00EB2DC8" w:rsidRDefault="004D6D50" w:rsidP="001357B2">
      <w:pPr>
        <w:tabs>
          <w:tab w:val="num" w:pos="567"/>
        </w:tabs>
        <w:spacing w:after="0" w:line="276" w:lineRule="auto"/>
        <w:jc w:val="both"/>
        <w:rPr>
          <w:rFonts w:ascii="Times New Roman" w:hAnsi="Times New Roman" w:cs="Times New Roman"/>
          <w:b/>
          <w:bCs/>
          <w:sz w:val="22"/>
          <w:szCs w:val="22"/>
        </w:rPr>
      </w:pPr>
    </w:p>
    <w:p w14:paraId="08D5F8CD" w14:textId="77777777" w:rsidR="001824D6" w:rsidRPr="00EB2DC8" w:rsidRDefault="001824D6" w:rsidP="001824D6">
      <w:pPr>
        <w:numPr>
          <w:ilvl w:val="0"/>
          <w:numId w:val="1"/>
        </w:numPr>
        <w:tabs>
          <w:tab w:val="clear" w:pos="720"/>
          <w:tab w:val="num" w:pos="567"/>
        </w:tabs>
        <w:spacing w:after="0" w:line="276" w:lineRule="auto"/>
        <w:ind w:left="0"/>
        <w:jc w:val="both"/>
        <w:rPr>
          <w:rFonts w:ascii="Times New Roman" w:hAnsi="Times New Roman" w:cs="Times New Roman"/>
          <w:b/>
          <w:bCs/>
          <w:sz w:val="22"/>
          <w:szCs w:val="22"/>
        </w:rPr>
      </w:pPr>
      <w:r w:rsidRPr="00EB2DC8">
        <w:rPr>
          <w:rFonts w:ascii="Times New Roman" w:hAnsi="Times New Roman" w:cs="Times New Roman"/>
          <w:b/>
          <w:bCs/>
          <w:sz w:val="22"/>
          <w:szCs w:val="22"/>
        </w:rPr>
        <w:t xml:space="preserve">ELEKTRONİK TİCARETTE ŞEFFAFLIK YÜKÜMLÜLÜĞÜ VE ALGORİTMİK SIRALAMA UYGULAMALARI </w:t>
      </w:r>
    </w:p>
    <w:p w14:paraId="6BCF16ED" w14:textId="77777777" w:rsidR="004D6D50" w:rsidRPr="00EB2DC8" w:rsidRDefault="004D6D50" w:rsidP="004D6D50">
      <w:pPr>
        <w:tabs>
          <w:tab w:val="num" w:pos="567"/>
        </w:tabs>
        <w:spacing w:after="0" w:line="276" w:lineRule="auto"/>
        <w:jc w:val="both"/>
        <w:rPr>
          <w:rFonts w:ascii="Times New Roman" w:hAnsi="Times New Roman" w:cs="Times New Roman"/>
          <w:b/>
          <w:bCs/>
          <w:sz w:val="22"/>
          <w:szCs w:val="22"/>
        </w:rPr>
      </w:pPr>
    </w:p>
    <w:p w14:paraId="3A7B6611" w14:textId="77777777" w:rsidR="00543C8B" w:rsidRPr="00EB2DC8" w:rsidRDefault="00543C8B" w:rsidP="00543C8B">
      <w:pPr>
        <w:jc w:val="both"/>
        <w:rPr>
          <w:rFonts w:ascii="Times New Roman" w:hAnsi="Times New Roman" w:cs="Times New Roman"/>
          <w:b/>
          <w:bCs/>
          <w:color w:val="000000" w:themeColor="text1"/>
          <w:sz w:val="22"/>
          <w:szCs w:val="22"/>
        </w:rPr>
      </w:pPr>
      <w:r w:rsidRPr="00EB2DC8">
        <w:rPr>
          <w:rFonts w:ascii="Times New Roman" w:hAnsi="Times New Roman" w:cs="Times New Roman"/>
          <w:b/>
          <w:bCs/>
          <w:color w:val="000000" w:themeColor="text1"/>
          <w:sz w:val="22"/>
          <w:szCs w:val="22"/>
        </w:rPr>
        <w:t>Şeffaflık Yükümlülüğünün Dayanağı</w:t>
      </w:r>
    </w:p>
    <w:p w14:paraId="2B0773A4" w14:textId="00F597E3" w:rsidR="00543C8B" w:rsidRPr="00EB2DC8" w:rsidRDefault="00543C8B" w:rsidP="00543C8B">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Türkiye’de elektronik ticaretin temel kuralları 6563 Elektronik Ticaretin Düzenlenmesi Hakkında Kanun (“</w:t>
      </w:r>
      <w:r w:rsidRPr="00EB2DC8">
        <w:rPr>
          <w:rFonts w:ascii="Times New Roman" w:hAnsi="Times New Roman" w:cs="Times New Roman"/>
          <w:b/>
          <w:bCs/>
          <w:color w:val="000000" w:themeColor="text1"/>
          <w:sz w:val="22"/>
          <w:szCs w:val="22"/>
        </w:rPr>
        <w:t>ETK</w:t>
      </w:r>
      <w:r w:rsidRPr="00EB2DC8">
        <w:rPr>
          <w:rFonts w:ascii="Times New Roman" w:hAnsi="Times New Roman" w:cs="Times New Roman"/>
          <w:color w:val="000000" w:themeColor="text1"/>
          <w:sz w:val="22"/>
          <w:szCs w:val="22"/>
        </w:rPr>
        <w:t xml:space="preserve">”) ile belirlenmiştir. Kanun’un 3. </w:t>
      </w:r>
      <w:r w:rsidR="00B7620B" w:rsidRPr="00EB2DC8">
        <w:rPr>
          <w:rFonts w:ascii="Times New Roman" w:hAnsi="Times New Roman" w:cs="Times New Roman"/>
          <w:color w:val="000000" w:themeColor="text1"/>
          <w:sz w:val="22"/>
          <w:szCs w:val="22"/>
        </w:rPr>
        <w:t>M</w:t>
      </w:r>
      <w:r w:rsidRPr="00EB2DC8">
        <w:rPr>
          <w:rFonts w:ascii="Times New Roman" w:hAnsi="Times New Roman" w:cs="Times New Roman"/>
          <w:color w:val="000000" w:themeColor="text1"/>
          <w:sz w:val="22"/>
          <w:szCs w:val="22"/>
        </w:rPr>
        <w:t xml:space="preserve">addesine göre, hizmet sağlayıcı elektronik ortamda sözleşme yapılmadan önce, alıcıya tanıtıcı bilgilerini, sözleşme adımlarını, sözleşme saklama durumu ve gizlilik koşullarını kolayca ulaşılabilir biçimde sunmakla yükümlüdür. Bu hüküm kapsamında satıcı veya platformlar, MERSİS/VERGİ </w:t>
      </w:r>
      <w:proofErr w:type="spellStart"/>
      <w:r w:rsidRPr="00EB2DC8">
        <w:rPr>
          <w:rFonts w:ascii="Times New Roman" w:hAnsi="Times New Roman" w:cs="Times New Roman"/>
          <w:color w:val="000000" w:themeColor="text1"/>
          <w:sz w:val="22"/>
          <w:szCs w:val="22"/>
        </w:rPr>
        <w:t>no</w:t>
      </w:r>
      <w:proofErr w:type="spellEnd"/>
      <w:r w:rsidRPr="00EB2DC8">
        <w:rPr>
          <w:rFonts w:ascii="Times New Roman" w:hAnsi="Times New Roman" w:cs="Times New Roman"/>
          <w:color w:val="000000" w:themeColor="text1"/>
          <w:sz w:val="22"/>
          <w:szCs w:val="22"/>
        </w:rPr>
        <w:t xml:space="preserve">, iletişim bilgileri gibi tanıtıcı bilgileri alıcının erişebileceği </w:t>
      </w:r>
      <w:r w:rsidRPr="00EB2DC8">
        <w:rPr>
          <w:rFonts w:ascii="Times New Roman" w:hAnsi="Times New Roman" w:cs="Times New Roman"/>
          <w:color w:val="000000" w:themeColor="text1"/>
          <w:sz w:val="22"/>
          <w:szCs w:val="22"/>
        </w:rPr>
        <w:lastRenderedPageBreak/>
        <w:t xml:space="preserve">şekilde güncel tutmak ve sözleşme aşamasında alıcıya açık bilgi vermek zorundadır. Ayrıca </w:t>
      </w:r>
      <w:proofErr w:type="spellStart"/>
      <w:r w:rsidRPr="00EB2DC8">
        <w:rPr>
          <w:rFonts w:ascii="Times New Roman" w:hAnsi="Times New Roman" w:cs="Times New Roman"/>
          <w:color w:val="000000" w:themeColor="text1"/>
          <w:sz w:val="22"/>
          <w:szCs w:val="22"/>
        </w:rPr>
        <w:t>ETK’nın</w:t>
      </w:r>
      <w:proofErr w:type="spellEnd"/>
      <w:r w:rsidRPr="00EB2DC8">
        <w:rPr>
          <w:rFonts w:ascii="Times New Roman" w:hAnsi="Times New Roman" w:cs="Times New Roman"/>
          <w:color w:val="000000" w:themeColor="text1"/>
          <w:sz w:val="22"/>
          <w:szCs w:val="22"/>
        </w:rPr>
        <w:t xml:space="preserve"> 4. </w:t>
      </w:r>
      <w:r w:rsidR="00B7620B" w:rsidRPr="00EB2DC8">
        <w:rPr>
          <w:rFonts w:ascii="Times New Roman" w:hAnsi="Times New Roman" w:cs="Times New Roman"/>
          <w:color w:val="000000" w:themeColor="text1"/>
          <w:sz w:val="22"/>
          <w:szCs w:val="22"/>
        </w:rPr>
        <w:t>M</w:t>
      </w:r>
      <w:r w:rsidRPr="00EB2DC8">
        <w:rPr>
          <w:rFonts w:ascii="Times New Roman" w:hAnsi="Times New Roman" w:cs="Times New Roman"/>
          <w:color w:val="000000" w:themeColor="text1"/>
          <w:sz w:val="22"/>
          <w:szCs w:val="22"/>
        </w:rPr>
        <w:t>addesi, sipariş onaylanmadan önce toplam bedel dahil sözleşme şartlarının alıcıya görülebilir olmasını emreder.</w:t>
      </w:r>
    </w:p>
    <w:p w14:paraId="57EC2FC5" w14:textId="26768425" w:rsidR="00543C8B" w:rsidRPr="00EB2DC8" w:rsidRDefault="00543C8B" w:rsidP="00543C8B">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Buna ek olarak 6502 sayılı Tüketicinin Korunması Hakkında Kanun</w:t>
      </w:r>
      <w:r w:rsidRPr="00EB2DC8">
        <w:rPr>
          <w:rFonts w:ascii="Times New Roman" w:hAnsi="Times New Roman" w:cs="Times New Roman"/>
          <w:b/>
          <w:bCs/>
          <w:color w:val="000000" w:themeColor="text1"/>
          <w:sz w:val="22"/>
          <w:szCs w:val="22"/>
        </w:rPr>
        <w:t xml:space="preserve"> (“TKHK”)</w:t>
      </w:r>
      <w:r w:rsidRPr="00EB2DC8">
        <w:rPr>
          <w:rFonts w:ascii="Times New Roman" w:hAnsi="Times New Roman" w:cs="Times New Roman"/>
          <w:color w:val="000000" w:themeColor="text1"/>
          <w:sz w:val="22"/>
          <w:szCs w:val="22"/>
        </w:rPr>
        <w:t xml:space="preserve"> da uzaktan (mesafeli) sözleşmelerde tüketicinin bilgilendirilmesine büyük önem verir. Tüketici Kanunu’nun 48. </w:t>
      </w:r>
      <w:r w:rsidR="00B7620B" w:rsidRPr="00EB2DC8">
        <w:rPr>
          <w:rFonts w:ascii="Times New Roman" w:hAnsi="Times New Roman" w:cs="Times New Roman"/>
          <w:color w:val="000000" w:themeColor="text1"/>
          <w:sz w:val="22"/>
          <w:szCs w:val="22"/>
        </w:rPr>
        <w:t>M</w:t>
      </w:r>
      <w:r w:rsidRPr="00EB2DC8">
        <w:rPr>
          <w:rFonts w:ascii="Times New Roman" w:hAnsi="Times New Roman" w:cs="Times New Roman"/>
          <w:color w:val="000000" w:themeColor="text1"/>
          <w:sz w:val="22"/>
          <w:szCs w:val="22"/>
        </w:rPr>
        <w:t xml:space="preserve">addesi, tüketici siparişi onaylamadan önce sözleşme detayları ve ödemenin zorunluluğu hakkında açık ve anlaşılır biçimde bilgilendirilmesini şart koşar. Nitekim bu hüküm, ödeme yükümlülüğü doğacak tüm koşulları tüketiciye göstermeyi zorunlu kılar. </w:t>
      </w:r>
    </w:p>
    <w:p w14:paraId="1AF18690" w14:textId="77777777" w:rsidR="00543C8B" w:rsidRPr="00EB2DC8" w:rsidRDefault="00543C8B" w:rsidP="00543C8B">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Son olarak, Elektronik Ticaret Aracı ve Hizmet Sağlayıcılar Yönetmeliği (“</w:t>
      </w:r>
      <w:r w:rsidRPr="00EB2DC8">
        <w:rPr>
          <w:rFonts w:ascii="Times New Roman" w:hAnsi="Times New Roman" w:cs="Times New Roman"/>
          <w:b/>
          <w:bCs/>
          <w:color w:val="000000" w:themeColor="text1"/>
          <w:sz w:val="22"/>
          <w:szCs w:val="22"/>
        </w:rPr>
        <w:t>ETAHS Yönetmeliği</w:t>
      </w:r>
      <w:r w:rsidRPr="00EB2DC8">
        <w:rPr>
          <w:rFonts w:ascii="Times New Roman" w:hAnsi="Times New Roman" w:cs="Times New Roman"/>
          <w:color w:val="000000" w:themeColor="text1"/>
          <w:sz w:val="22"/>
          <w:szCs w:val="22"/>
        </w:rPr>
        <w:t xml:space="preserve">”), kanunların uygulanmasını </w:t>
      </w:r>
      <w:proofErr w:type="spellStart"/>
      <w:r w:rsidRPr="00EB2DC8">
        <w:rPr>
          <w:rFonts w:ascii="Times New Roman" w:hAnsi="Times New Roman" w:cs="Times New Roman"/>
          <w:color w:val="000000" w:themeColor="text1"/>
          <w:sz w:val="22"/>
          <w:szCs w:val="22"/>
        </w:rPr>
        <w:t>ayrıntılandırır</w:t>
      </w:r>
      <w:proofErr w:type="spellEnd"/>
      <w:r w:rsidRPr="00EB2DC8">
        <w:rPr>
          <w:rFonts w:ascii="Times New Roman" w:hAnsi="Times New Roman" w:cs="Times New Roman"/>
          <w:color w:val="000000" w:themeColor="text1"/>
          <w:sz w:val="22"/>
          <w:szCs w:val="22"/>
        </w:rPr>
        <w:t xml:space="preserve"> ve özellikle şeffaflık ile erişilebilirlik ilkelerini ön plana çıkarır. Yönetmelik, ETAHS ve </w:t>
      </w:r>
      <w:proofErr w:type="spellStart"/>
      <w:r w:rsidRPr="00EB2DC8">
        <w:rPr>
          <w:rFonts w:ascii="Times New Roman" w:hAnsi="Times New Roman" w:cs="Times New Roman"/>
          <w:color w:val="000000" w:themeColor="text1"/>
          <w:sz w:val="22"/>
          <w:szCs w:val="22"/>
        </w:rPr>
        <w:t>ETHS’nin</w:t>
      </w:r>
      <w:proofErr w:type="spellEnd"/>
      <w:r w:rsidRPr="00EB2DC8">
        <w:rPr>
          <w:rFonts w:ascii="Times New Roman" w:hAnsi="Times New Roman" w:cs="Times New Roman"/>
          <w:color w:val="000000" w:themeColor="text1"/>
          <w:sz w:val="22"/>
          <w:szCs w:val="22"/>
        </w:rPr>
        <w:t xml:space="preserve"> bilgi verme, doğrulama ve sözleşme düzenleme yükümlülüklerini detaylı şekilde düzenlemektedir. Buna göre, platformlar (ETAHS) ve satıcılar (ETHS) arasında imzalanan aracılık sözleşmesinde sağlanacak hizmetlerin kapsamı, sözleşmenin şartları, ödeme ve gizlilik bilgileri açıkça gösterilmelidir. Özetle, </w:t>
      </w:r>
      <w:proofErr w:type="spellStart"/>
      <w:r w:rsidRPr="00EB2DC8">
        <w:rPr>
          <w:rFonts w:ascii="Times New Roman" w:hAnsi="Times New Roman" w:cs="Times New Roman"/>
          <w:color w:val="000000" w:themeColor="text1"/>
          <w:sz w:val="22"/>
          <w:szCs w:val="22"/>
        </w:rPr>
        <w:t>ETK’nın</w:t>
      </w:r>
      <w:proofErr w:type="spellEnd"/>
      <w:r w:rsidRPr="00EB2DC8">
        <w:rPr>
          <w:rFonts w:ascii="Times New Roman" w:hAnsi="Times New Roman" w:cs="Times New Roman"/>
          <w:color w:val="000000" w:themeColor="text1"/>
          <w:sz w:val="22"/>
          <w:szCs w:val="22"/>
        </w:rPr>
        <w:t xml:space="preserve"> ilgili maddeleri ile TKHK ve ETAHS Yönetmeliği, elektronik ticarette tarafların tüketiciyi yasal hakları ve şartlar hakkında güncel ve anlaşılır biçimde bilgilendirmesini öngörür.</w:t>
      </w:r>
    </w:p>
    <w:p w14:paraId="3EC40EAA" w14:textId="77777777" w:rsidR="00543C8B" w:rsidRPr="00EB2DC8" w:rsidRDefault="00543C8B" w:rsidP="00543C8B">
      <w:pPr>
        <w:jc w:val="both"/>
        <w:rPr>
          <w:rFonts w:ascii="Times New Roman" w:hAnsi="Times New Roman" w:cs="Times New Roman"/>
          <w:b/>
          <w:bCs/>
          <w:color w:val="000000" w:themeColor="text1"/>
          <w:sz w:val="22"/>
          <w:szCs w:val="22"/>
        </w:rPr>
      </w:pPr>
      <w:r w:rsidRPr="00EB2DC8">
        <w:rPr>
          <w:rFonts w:ascii="Times New Roman" w:hAnsi="Times New Roman" w:cs="Times New Roman"/>
          <w:b/>
          <w:bCs/>
          <w:color w:val="000000" w:themeColor="text1"/>
          <w:sz w:val="22"/>
          <w:szCs w:val="22"/>
        </w:rPr>
        <w:t>Platformların Algoritmik Sıralama Hakkında Bilgilendirme Yükümlülüğü</w:t>
      </w:r>
    </w:p>
    <w:p w14:paraId="02736D1F" w14:textId="77777777" w:rsidR="00543C8B" w:rsidRPr="00EB2DC8" w:rsidRDefault="00543C8B" w:rsidP="00543C8B">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 xml:space="preserve">Mevzuatta, pazaryerleri veya arama motorları gibi platformların, tüketicilere kendi algoritmik sıralama yöntemlerini tek tek açıklama yükümlülüğü açıkça öngörülmemiştir. Etkili bir bilgilendirme yükümlülüğü daha çok, bir sözleşme tarafı olan satıcı (ETHS) ile platform (ETAHS) arasında kurulmuş aracılık sözleşmesi kapsamında tanımlanmıştır. Şu </w:t>
      </w:r>
      <w:proofErr w:type="gramStart"/>
      <w:r w:rsidRPr="00EB2DC8">
        <w:rPr>
          <w:rFonts w:ascii="Times New Roman" w:hAnsi="Times New Roman" w:cs="Times New Roman"/>
          <w:color w:val="000000" w:themeColor="text1"/>
          <w:sz w:val="22"/>
          <w:szCs w:val="22"/>
        </w:rPr>
        <w:t>halde</w:t>
      </w:r>
      <w:proofErr w:type="gramEnd"/>
      <w:r w:rsidRPr="00EB2DC8">
        <w:rPr>
          <w:rFonts w:ascii="Times New Roman" w:hAnsi="Times New Roman" w:cs="Times New Roman"/>
          <w:color w:val="000000" w:themeColor="text1"/>
          <w:sz w:val="22"/>
          <w:szCs w:val="22"/>
        </w:rPr>
        <w:t xml:space="preserve"> platformlar doğrudan tüketiciye algoritmanın iç işleyişini açıklama yükümlülüğü taşımamakla birlikte; ticari uygulamalarda dürüstlük ve şeffaflık ilkeleri gereğince, sıralama sonucu sunulurken manipülatif reklamlardan ve yanıltıcı uygulamalardan kaçınması beklenir. Örneğin kanun, satıcının tüketici siparişi onaylamadan önce tüm mali koşulları (fiyat, vergi, kargo vb.) açıkça görmesini şart koşar. Benzer biçimde platformlar </w:t>
      </w:r>
      <w:proofErr w:type="gramStart"/>
      <w:r w:rsidRPr="00EB2DC8">
        <w:rPr>
          <w:rFonts w:ascii="Times New Roman" w:hAnsi="Times New Roman" w:cs="Times New Roman"/>
          <w:color w:val="000000" w:themeColor="text1"/>
          <w:sz w:val="22"/>
          <w:szCs w:val="22"/>
        </w:rPr>
        <w:t>da,</w:t>
      </w:r>
      <w:proofErr w:type="gramEnd"/>
      <w:r w:rsidRPr="00EB2DC8">
        <w:rPr>
          <w:rFonts w:ascii="Times New Roman" w:hAnsi="Times New Roman" w:cs="Times New Roman"/>
          <w:color w:val="000000" w:themeColor="text1"/>
          <w:sz w:val="22"/>
          <w:szCs w:val="22"/>
        </w:rPr>
        <w:t xml:space="preserve"> kullanıcı arayüzlerinde ürün listeleme ve reklam işaretlemelerini yasal çerçevede sunmalı; yanıltıcı olmayan, anlaşılır bir şekilde fiyat ve kampanya bilgisi vermelidir. Ancak algoritmik sıralama kriterlerini veya parametrelerini doğrudan son kullanıcıya açıklama yükümlülüğü mevcut değildir. Zira güncel düzenlemelerde bu konunun ele alınması, öncelikli olarak satıcı-platform ilişkisine dair hukuki kurallarla sınırlanmıştır.</w:t>
      </w:r>
    </w:p>
    <w:p w14:paraId="212DFE2E" w14:textId="77777777" w:rsidR="00543C8B" w:rsidRPr="00EB2DC8" w:rsidRDefault="00543C8B" w:rsidP="00543C8B">
      <w:pPr>
        <w:jc w:val="both"/>
        <w:rPr>
          <w:rFonts w:ascii="Times New Roman" w:hAnsi="Times New Roman" w:cs="Times New Roman"/>
          <w:b/>
          <w:bCs/>
          <w:color w:val="000000" w:themeColor="text1"/>
          <w:sz w:val="22"/>
          <w:szCs w:val="22"/>
        </w:rPr>
      </w:pPr>
      <w:r w:rsidRPr="00EB2DC8">
        <w:rPr>
          <w:rFonts w:ascii="Times New Roman" w:hAnsi="Times New Roman" w:cs="Times New Roman"/>
          <w:b/>
          <w:bCs/>
          <w:color w:val="000000" w:themeColor="text1"/>
          <w:sz w:val="22"/>
          <w:szCs w:val="22"/>
        </w:rPr>
        <w:t>Aracı Hizmet Sağlayıcıların Sıralama Ölçütleri ve İçerik Görünürlüğü Sorumluluğu</w:t>
      </w:r>
    </w:p>
    <w:p w14:paraId="7C7CDBDD" w14:textId="58FE3F92" w:rsidR="00543C8B" w:rsidRPr="00EB2DC8" w:rsidRDefault="00543C8B" w:rsidP="00543C8B">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 xml:space="preserve">ETAHS Yönetmeliği, platformlar (ETAHS) ile satıcılar (ETHS) arasındaki sözleşmenin asgari unsurlarını ayrıntılı biçimde belirlemiştir. Yönetmelik’in 15. </w:t>
      </w:r>
      <w:r w:rsidR="00B7620B" w:rsidRPr="00EB2DC8">
        <w:rPr>
          <w:rFonts w:ascii="Times New Roman" w:hAnsi="Times New Roman" w:cs="Times New Roman"/>
          <w:color w:val="000000" w:themeColor="text1"/>
          <w:sz w:val="22"/>
          <w:szCs w:val="22"/>
        </w:rPr>
        <w:t>M</w:t>
      </w:r>
      <w:r w:rsidRPr="00EB2DC8">
        <w:rPr>
          <w:rFonts w:ascii="Times New Roman" w:hAnsi="Times New Roman" w:cs="Times New Roman"/>
          <w:color w:val="000000" w:themeColor="text1"/>
          <w:sz w:val="22"/>
          <w:szCs w:val="22"/>
        </w:rPr>
        <w:t>addesi uyarınca, aracılık sözleşmesi en az aşağıdaki konuları içermelidir.</w:t>
      </w:r>
    </w:p>
    <w:p w14:paraId="5D0BA41F" w14:textId="77777777" w:rsidR="00543C8B" w:rsidRPr="00EB2DC8" w:rsidRDefault="00543C8B" w:rsidP="00543C8B">
      <w:pPr>
        <w:numPr>
          <w:ilvl w:val="0"/>
          <w:numId w:val="24"/>
        </w:numPr>
        <w:jc w:val="both"/>
        <w:rPr>
          <w:rFonts w:ascii="Times New Roman" w:hAnsi="Times New Roman" w:cs="Times New Roman"/>
          <w:color w:val="000000" w:themeColor="text1"/>
          <w:sz w:val="22"/>
          <w:szCs w:val="22"/>
        </w:rPr>
      </w:pPr>
      <w:r w:rsidRPr="00EB2DC8">
        <w:rPr>
          <w:rFonts w:ascii="Times New Roman" w:hAnsi="Times New Roman" w:cs="Times New Roman"/>
          <w:b/>
          <w:bCs/>
          <w:color w:val="000000" w:themeColor="text1"/>
          <w:sz w:val="22"/>
          <w:szCs w:val="22"/>
        </w:rPr>
        <w:t>Sıralama Kriterleri:</w:t>
      </w:r>
      <w:r w:rsidRPr="00EB2DC8">
        <w:rPr>
          <w:rFonts w:ascii="Times New Roman" w:hAnsi="Times New Roman" w:cs="Times New Roman"/>
          <w:color w:val="000000" w:themeColor="text1"/>
          <w:sz w:val="22"/>
          <w:szCs w:val="22"/>
        </w:rPr>
        <w:t xml:space="preserve"> Platformda mal veya hizmetlerin sıralanmasında veya önerilmesinde hangi parametrelerin kullanıldığı ve birden çok parametre varsa bunlar arasındaki öncelik sırası belirtilir. Örneğin satış hacmi, fiyat veya kullanıcı puanları gibi kriterler sayılabilir.</w:t>
      </w:r>
    </w:p>
    <w:p w14:paraId="22A41666" w14:textId="77777777" w:rsidR="00543C8B" w:rsidRPr="00EB2DC8" w:rsidRDefault="00543C8B" w:rsidP="00543C8B">
      <w:pPr>
        <w:jc w:val="both"/>
        <w:rPr>
          <w:rFonts w:ascii="Times New Roman" w:hAnsi="Times New Roman" w:cs="Times New Roman"/>
          <w:color w:val="000000" w:themeColor="text1"/>
          <w:sz w:val="22"/>
          <w:szCs w:val="22"/>
        </w:rPr>
      </w:pPr>
    </w:p>
    <w:p w14:paraId="0BFC186E" w14:textId="77777777" w:rsidR="00543C8B" w:rsidRPr="00EB2DC8" w:rsidRDefault="00543C8B" w:rsidP="00543C8B">
      <w:pPr>
        <w:numPr>
          <w:ilvl w:val="0"/>
          <w:numId w:val="24"/>
        </w:numPr>
        <w:jc w:val="both"/>
        <w:rPr>
          <w:rFonts w:ascii="Times New Roman" w:hAnsi="Times New Roman" w:cs="Times New Roman"/>
          <w:color w:val="000000" w:themeColor="text1"/>
          <w:sz w:val="22"/>
          <w:szCs w:val="22"/>
        </w:rPr>
      </w:pPr>
      <w:r w:rsidRPr="00EB2DC8">
        <w:rPr>
          <w:rFonts w:ascii="Times New Roman" w:hAnsi="Times New Roman" w:cs="Times New Roman"/>
          <w:b/>
          <w:bCs/>
          <w:color w:val="000000" w:themeColor="text1"/>
          <w:sz w:val="22"/>
          <w:szCs w:val="22"/>
        </w:rPr>
        <w:t>Ödeme-Performans İlişkisi:</w:t>
      </w:r>
      <w:r w:rsidRPr="00EB2DC8">
        <w:rPr>
          <w:rFonts w:ascii="Times New Roman" w:hAnsi="Times New Roman" w:cs="Times New Roman"/>
          <w:color w:val="000000" w:themeColor="text1"/>
          <w:sz w:val="22"/>
          <w:szCs w:val="22"/>
        </w:rPr>
        <w:t xml:space="preserve"> Sıralamayı etkilemek amacıyla satıcı tarafından platforma doğrudan veya dolaylı ödeme (örneğin reklam veya premium listeleme ücreti) yapılması durumunda, bunun sıralama üzerindeki etkisi açıkça belirtilir.</w:t>
      </w:r>
    </w:p>
    <w:p w14:paraId="2CD9A6DF" w14:textId="77777777" w:rsidR="00B7620B" w:rsidRPr="00EB2DC8" w:rsidRDefault="00B7620B" w:rsidP="00B7620B">
      <w:pPr>
        <w:pStyle w:val="ListeParagraf"/>
        <w:rPr>
          <w:rFonts w:ascii="Times New Roman" w:hAnsi="Times New Roman" w:cs="Times New Roman"/>
          <w:b/>
          <w:bCs/>
          <w:color w:val="000000" w:themeColor="text1"/>
          <w:sz w:val="22"/>
          <w:szCs w:val="22"/>
        </w:rPr>
      </w:pPr>
    </w:p>
    <w:p w14:paraId="6141F17A" w14:textId="77777777" w:rsidR="00543C8B" w:rsidRPr="00EB2DC8" w:rsidRDefault="00543C8B" w:rsidP="00543C8B">
      <w:pPr>
        <w:jc w:val="both"/>
        <w:rPr>
          <w:rFonts w:ascii="Times New Roman" w:hAnsi="Times New Roman" w:cs="Times New Roman"/>
          <w:b/>
          <w:bCs/>
          <w:color w:val="000000" w:themeColor="text1"/>
          <w:sz w:val="22"/>
          <w:szCs w:val="22"/>
        </w:rPr>
      </w:pPr>
    </w:p>
    <w:p w14:paraId="39D9B408" w14:textId="77777777" w:rsidR="00543C8B" w:rsidRPr="00EB2DC8" w:rsidRDefault="00543C8B" w:rsidP="00543C8B">
      <w:pPr>
        <w:numPr>
          <w:ilvl w:val="0"/>
          <w:numId w:val="24"/>
        </w:numPr>
        <w:jc w:val="both"/>
        <w:rPr>
          <w:rFonts w:ascii="Times New Roman" w:hAnsi="Times New Roman" w:cs="Times New Roman"/>
          <w:color w:val="000000" w:themeColor="text1"/>
          <w:sz w:val="22"/>
          <w:szCs w:val="22"/>
        </w:rPr>
      </w:pPr>
      <w:r w:rsidRPr="00EB2DC8">
        <w:rPr>
          <w:rFonts w:ascii="Times New Roman" w:hAnsi="Times New Roman" w:cs="Times New Roman"/>
          <w:b/>
          <w:bCs/>
          <w:color w:val="000000" w:themeColor="text1"/>
          <w:sz w:val="22"/>
          <w:szCs w:val="22"/>
        </w:rPr>
        <w:t>Hizmet Koşulları:</w:t>
      </w:r>
      <w:r w:rsidRPr="00EB2DC8">
        <w:rPr>
          <w:rFonts w:ascii="Times New Roman" w:hAnsi="Times New Roman" w:cs="Times New Roman"/>
          <w:color w:val="000000" w:themeColor="text1"/>
          <w:sz w:val="22"/>
          <w:szCs w:val="22"/>
        </w:rPr>
        <w:t xml:space="preserve"> Satıcıdan alınacak hizmet bedelleri, aracılık hizmetinin kısıtlanma/sonlandırma koşulları, içerik erişimi ve dahili iletişim sistemine ilişkin hükümler gibi hususlar detaylandırılır.</w:t>
      </w:r>
    </w:p>
    <w:p w14:paraId="34E382E4" w14:textId="77777777" w:rsidR="00B7620B" w:rsidRPr="00EB2DC8" w:rsidRDefault="00B7620B" w:rsidP="00B7620B">
      <w:pPr>
        <w:pStyle w:val="ListeParagraf"/>
        <w:rPr>
          <w:rFonts w:ascii="Times New Roman" w:hAnsi="Times New Roman" w:cs="Times New Roman"/>
          <w:color w:val="000000" w:themeColor="text1"/>
          <w:sz w:val="22"/>
          <w:szCs w:val="22"/>
        </w:rPr>
      </w:pPr>
    </w:p>
    <w:p w14:paraId="6FDC6128" w14:textId="71FDB153" w:rsidR="00543C8B" w:rsidRPr="00EB2DC8" w:rsidRDefault="00543C8B" w:rsidP="00543C8B">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Bu yükümlülükler, platformun kullandığı algoritmik mekanizmaların en azından satıcı açısından şeffaf olmasını amaçlar. Platform, yukarıda belirtilen bilgileri aracı hizmet sözleşmesinde açıkça düzenleyerek satıcıyı bilgilendirmek zorundadır. Ayrıca Yönetmelik, arama sonuçlarının manipülasyonuna yönelik bir önlem de içerir: Arama algoritması aracılığıyla alıcıyı yanıltacak, haksız avantaj sağlayacak biçimde sonuçları değiştiren herhangi bir algoritmanın sözleşmeye dâhil edilmesi yasaktır. Özetle, aracı hizmet sağlayıcı (</w:t>
      </w:r>
      <w:r w:rsidR="00B7620B" w:rsidRPr="00EB2DC8">
        <w:rPr>
          <w:rFonts w:ascii="Times New Roman" w:hAnsi="Times New Roman" w:cs="Times New Roman"/>
          <w:color w:val="000000" w:themeColor="text1"/>
          <w:sz w:val="22"/>
          <w:szCs w:val="22"/>
        </w:rPr>
        <w:t>P</w:t>
      </w:r>
      <w:r w:rsidRPr="00EB2DC8">
        <w:rPr>
          <w:rFonts w:ascii="Times New Roman" w:hAnsi="Times New Roman" w:cs="Times New Roman"/>
          <w:color w:val="000000" w:themeColor="text1"/>
          <w:sz w:val="22"/>
          <w:szCs w:val="22"/>
        </w:rPr>
        <w:t>azar yeri işletmecisi), sıralama kriterleri ve içerik görünürlüğüyle ilgili tüm nesnel ölçütleri şeffaf şekilde tanımlayıp sözleşmede beyan etmekle yükümlüdür.</w:t>
      </w:r>
    </w:p>
    <w:p w14:paraId="74883BF5" w14:textId="77777777" w:rsidR="00543C8B" w:rsidRPr="00EB2DC8" w:rsidRDefault="00543C8B" w:rsidP="00543C8B">
      <w:pPr>
        <w:jc w:val="both"/>
        <w:rPr>
          <w:rFonts w:ascii="Times New Roman" w:hAnsi="Times New Roman" w:cs="Times New Roman"/>
          <w:b/>
          <w:bCs/>
          <w:color w:val="000000" w:themeColor="text1"/>
          <w:sz w:val="22"/>
          <w:szCs w:val="22"/>
        </w:rPr>
      </w:pPr>
      <w:r w:rsidRPr="00EB2DC8">
        <w:rPr>
          <w:rFonts w:ascii="Times New Roman" w:hAnsi="Times New Roman" w:cs="Times New Roman"/>
          <w:b/>
          <w:bCs/>
          <w:color w:val="000000" w:themeColor="text1"/>
          <w:sz w:val="22"/>
          <w:szCs w:val="22"/>
        </w:rPr>
        <w:t>Sıralama Sistemlerinin Manipülasyonu ve Hukuka Aykırılık</w:t>
      </w:r>
    </w:p>
    <w:p w14:paraId="29710CBB" w14:textId="77777777" w:rsidR="00543C8B" w:rsidRPr="00EB2DC8" w:rsidRDefault="00543C8B" w:rsidP="00543C8B">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 xml:space="preserve">Platformların sıralama algoritmalarını kötüye kullanması, tüketiciyi yanıltıcı bir uygulama olarak değerlendirilebilir. ETAHS Yönetmeliği, “arama sonuçlarının manipüle edilmesi yoluyla alıcının aldatılmasına veya zararına neden olacak” algoritmaların kullanımını açıkça reddetmiştir. Bir başka ifadeyle, platformlar kar-zarar analizi gözeterek arama sonuçlarını hileli şekilde çarpıtamaz; bu tür manipülasyon sözleşmeye dâhil edilemez. Türkiye’de Reklam Kurulu kararlarında da benzer yaklaşım görülür: Örneğin yürütülen bir incelemede, bir e-ticaret sitesinde indirimli fiyat göstermesine rağmen farklı bir fiyat sunulmasının tüketiciyi “ekonomik kararlarında manipüle ettiği” değerlendirilmiştir. Reklam Kurulu bu durumu, indirim oranı ve ürün fiyatı hakkında gerçeği yansıtmadığı, dolayısıyla söz konusu reklamların tüketiciyi yanıltıcı ve aldatıcı nitelikte olduğu kanaatine sayarak </w:t>
      </w:r>
      <w:proofErr w:type="spellStart"/>
      <w:r w:rsidRPr="00EB2DC8">
        <w:rPr>
          <w:rFonts w:ascii="Times New Roman" w:hAnsi="Times New Roman" w:cs="Times New Roman"/>
          <w:color w:val="000000" w:themeColor="text1"/>
          <w:sz w:val="22"/>
          <w:szCs w:val="22"/>
        </w:rPr>
        <w:t>TKHK’ya</w:t>
      </w:r>
      <w:proofErr w:type="spellEnd"/>
      <w:r w:rsidRPr="00EB2DC8">
        <w:rPr>
          <w:rFonts w:ascii="Times New Roman" w:hAnsi="Times New Roman" w:cs="Times New Roman"/>
          <w:color w:val="000000" w:themeColor="text1"/>
          <w:sz w:val="22"/>
          <w:szCs w:val="22"/>
        </w:rPr>
        <w:t xml:space="preserve"> aykırı bulmuştur. Dolayısıyla algoritmik sıralamayı kullanarak görünmez reklam veya ücretli terimlerle haksız avantaj sağlamak, yanıltıcı ticari uygulama kapsamında incelenebilir ve hukuka aykırıdır. Bu tür uygulamalar, tüketicinin güvenini ihlal edecek biçimde ekonomik tercihlerini saptırdığından, TKHK çerçevesinde yasaklanmış haksız ticari uygulamalar arasında değerlendirilecektir.</w:t>
      </w:r>
    </w:p>
    <w:p w14:paraId="71023CF8" w14:textId="77777777" w:rsidR="00543C8B" w:rsidRPr="00EB2DC8" w:rsidRDefault="00543C8B" w:rsidP="00543C8B">
      <w:pPr>
        <w:jc w:val="both"/>
        <w:rPr>
          <w:rFonts w:ascii="Times New Roman" w:hAnsi="Times New Roman" w:cs="Times New Roman"/>
          <w:b/>
          <w:bCs/>
          <w:color w:val="000000" w:themeColor="text1"/>
          <w:sz w:val="22"/>
          <w:szCs w:val="22"/>
        </w:rPr>
      </w:pPr>
      <w:r w:rsidRPr="00EB2DC8">
        <w:rPr>
          <w:rFonts w:ascii="Times New Roman" w:hAnsi="Times New Roman" w:cs="Times New Roman"/>
          <w:b/>
          <w:bCs/>
          <w:color w:val="000000" w:themeColor="text1"/>
          <w:sz w:val="22"/>
          <w:szCs w:val="22"/>
        </w:rPr>
        <w:t xml:space="preserve">Sonuç </w:t>
      </w:r>
    </w:p>
    <w:p w14:paraId="7DE9EA87" w14:textId="12A1B728" w:rsidR="00543C8B" w:rsidRPr="00EB2DC8" w:rsidRDefault="00543C8B" w:rsidP="00543C8B">
      <w:pPr>
        <w:jc w:val="both"/>
        <w:rPr>
          <w:rFonts w:ascii="Times New Roman" w:hAnsi="Times New Roman" w:cs="Times New Roman"/>
          <w:color w:val="000000" w:themeColor="text1"/>
          <w:sz w:val="22"/>
          <w:szCs w:val="22"/>
        </w:rPr>
      </w:pPr>
      <w:r w:rsidRPr="00EB2DC8">
        <w:rPr>
          <w:rFonts w:ascii="Times New Roman" w:hAnsi="Times New Roman" w:cs="Times New Roman"/>
          <w:color w:val="000000" w:themeColor="text1"/>
          <w:sz w:val="22"/>
          <w:szCs w:val="22"/>
        </w:rPr>
        <w:t>Elektronik ticaretin hızla yaygınlaşmasıyla birlikte, platformlar üzerindeki algoritmik sıralama sistemlerinin tüketici davranışlarını yönlendirme etkisi artmış; bu durum şeffaflık yükümlülüğünü e-ticaret hukukunun merkezine taşımıştır. Türkiye</w:t>
      </w:r>
      <w:r w:rsidR="00B7620B" w:rsidRPr="00EB2DC8">
        <w:rPr>
          <w:rFonts w:ascii="Times New Roman" w:hAnsi="Times New Roman" w:cs="Times New Roman"/>
          <w:color w:val="000000" w:themeColor="text1"/>
          <w:sz w:val="22"/>
          <w:szCs w:val="22"/>
        </w:rPr>
        <w:t>’</w:t>
      </w:r>
      <w:r w:rsidRPr="00EB2DC8">
        <w:rPr>
          <w:rFonts w:ascii="Times New Roman" w:hAnsi="Times New Roman" w:cs="Times New Roman"/>
          <w:color w:val="000000" w:themeColor="text1"/>
          <w:sz w:val="22"/>
          <w:szCs w:val="22"/>
        </w:rPr>
        <w:t>de ETK, TKHK ve ETAHS Yönetmeliği çerçevesinde, aracı hizmet sağlayıcıların sıralama kriterleri ve içerik görünürlüğüne ilişkin bilgilendirme yükümlülükleri açıkça düzenlenmiştir. Platformların, sıralama algoritmalarının objektifliğini bozacak manipülatif uygulamalardan kaçınmaları; ticari şeffaflığı ve tüketici güvenini temin etmeleri beklenmektedir. Bu çerçevede şeffaflık, sadece sözleşme öncesi bilgilendirmeyle sınırlı kalmayıp, içerik sunum biçimlerine ve kullanıcıya gösterilen bilginin niteliğine kadar genişletilmiştir.</w:t>
      </w:r>
    </w:p>
    <w:p w14:paraId="59DE2697" w14:textId="77777777" w:rsidR="00543C8B" w:rsidRPr="00EB2DC8" w:rsidRDefault="00543C8B" w:rsidP="004D6D50">
      <w:pPr>
        <w:tabs>
          <w:tab w:val="num" w:pos="567"/>
        </w:tabs>
        <w:spacing w:after="0" w:line="276" w:lineRule="auto"/>
        <w:jc w:val="both"/>
        <w:rPr>
          <w:rFonts w:ascii="Times New Roman" w:hAnsi="Times New Roman" w:cs="Times New Roman"/>
          <w:b/>
          <w:bCs/>
          <w:sz w:val="22"/>
          <w:szCs w:val="22"/>
        </w:rPr>
      </w:pPr>
    </w:p>
    <w:p w14:paraId="6026A1D4" w14:textId="77777777" w:rsidR="00543C8B" w:rsidRPr="00EB2DC8" w:rsidRDefault="00543C8B" w:rsidP="004D6D50">
      <w:pPr>
        <w:tabs>
          <w:tab w:val="num" w:pos="567"/>
        </w:tabs>
        <w:spacing w:after="0" w:line="276" w:lineRule="auto"/>
        <w:jc w:val="both"/>
        <w:rPr>
          <w:rFonts w:ascii="Times New Roman" w:hAnsi="Times New Roman" w:cs="Times New Roman"/>
          <w:b/>
          <w:bCs/>
          <w:sz w:val="22"/>
          <w:szCs w:val="22"/>
        </w:rPr>
      </w:pPr>
    </w:p>
    <w:p w14:paraId="1D248F67" w14:textId="0809FD70" w:rsidR="004D6D50" w:rsidRPr="00EB2DC8" w:rsidRDefault="00B7620B" w:rsidP="00B7620B">
      <w:pPr>
        <w:tabs>
          <w:tab w:val="num" w:pos="567"/>
        </w:tabs>
        <w:spacing w:after="0" w:line="276" w:lineRule="auto"/>
        <w:jc w:val="right"/>
        <w:rPr>
          <w:rFonts w:ascii="Times New Roman" w:hAnsi="Times New Roman" w:cs="Times New Roman"/>
          <w:b/>
          <w:bCs/>
          <w:sz w:val="22"/>
          <w:szCs w:val="22"/>
        </w:rPr>
      </w:pPr>
      <w:r w:rsidRPr="00EB2DC8">
        <w:rPr>
          <w:rFonts w:ascii="Times New Roman" w:hAnsi="Times New Roman" w:cs="Times New Roman"/>
          <w:b/>
          <w:bCs/>
          <w:sz w:val="22"/>
          <w:szCs w:val="22"/>
        </w:rPr>
        <w:t>23 OCAK 2026</w:t>
      </w:r>
    </w:p>
    <w:p w14:paraId="13B673D8" w14:textId="77777777" w:rsidR="001824D6" w:rsidRPr="00EB2DC8" w:rsidRDefault="001824D6" w:rsidP="001824D6">
      <w:pPr>
        <w:numPr>
          <w:ilvl w:val="0"/>
          <w:numId w:val="1"/>
        </w:numPr>
        <w:tabs>
          <w:tab w:val="clear" w:pos="720"/>
          <w:tab w:val="num" w:pos="567"/>
        </w:tabs>
        <w:spacing w:after="0" w:line="276" w:lineRule="auto"/>
        <w:ind w:left="0"/>
        <w:jc w:val="both"/>
        <w:rPr>
          <w:rFonts w:ascii="Times New Roman" w:hAnsi="Times New Roman" w:cs="Times New Roman"/>
          <w:b/>
          <w:bCs/>
          <w:sz w:val="22"/>
          <w:szCs w:val="22"/>
        </w:rPr>
      </w:pPr>
      <w:r w:rsidRPr="00EB2DC8">
        <w:rPr>
          <w:rFonts w:ascii="Times New Roman" w:hAnsi="Times New Roman" w:cs="Times New Roman"/>
          <w:b/>
          <w:bCs/>
          <w:sz w:val="22"/>
          <w:szCs w:val="22"/>
        </w:rPr>
        <w:t xml:space="preserve">E-TİCARETTE SATICILARIN VE PLATFORMLARIN REKLAM VE PROMOSYON SORUMLULUĞU </w:t>
      </w:r>
    </w:p>
    <w:p w14:paraId="408BFE3E" w14:textId="77777777" w:rsidR="00543C8B" w:rsidRPr="00EB2DC8" w:rsidRDefault="00543C8B" w:rsidP="00543C8B">
      <w:pPr>
        <w:tabs>
          <w:tab w:val="num" w:pos="567"/>
        </w:tabs>
        <w:spacing w:after="0" w:line="276" w:lineRule="auto"/>
        <w:jc w:val="both"/>
        <w:rPr>
          <w:rFonts w:ascii="Times New Roman" w:hAnsi="Times New Roman" w:cs="Times New Roman"/>
          <w:b/>
          <w:bCs/>
          <w:sz w:val="22"/>
          <w:szCs w:val="22"/>
        </w:rPr>
      </w:pPr>
    </w:p>
    <w:p w14:paraId="0742C3CD" w14:textId="77777777" w:rsidR="00A139E7" w:rsidRPr="00EB2DC8" w:rsidRDefault="00A139E7" w:rsidP="00A139E7">
      <w:pPr>
        <w:jc w:val="both"/>
        <w:rPr>
          <w:rFonts w:ascii="Times New Roman" w:hAnsi="Times New Roman" w:cs="Times New Roman"/>
          <w:sz w:val="22"/>
          <w:szCs w:val="22"/>
        </w:rPr>
      </w:pPr>
      <w:r w:rsidRPr="00EB2DC8">
        <w:rPr>
          <w:rFonts w:ascii="Times New Roman" w:hAnsi="Times New Roman" w:cs="Times New Roman"/>
          <w:sz w:val="22"/>
          <w:szCs w:val="22"/>
        </w:rPr>
        <w:t>Ticari reklam ve promosyon uygulamaları, 6502 sayılı Tüketicinin Korunması Hakkında Kanun’a (“</w:t>
      </w:r>
      <w:r w:rsidRPr="00EB2DC8">
        <w:rPr>
          <w:rFonts w:ascii="Times New Roman" w:hAnsi="Times New Roman" w:cs="Times New Roman"/>
          <w:b/>
          <w:bCs/>
          <w:sz w:val="22"/>
          <w:szCs w:val="22"/>
        </w:rPr>
        <w:t>TKHK</w:t>
      </w:r>
      <w:r w:rsidRPr="00EB2DC8">
        <w:rPr>
          <w:rFonts w:ascii="Times New Roman" w:hAnsi="Times New Roman" w:cs="Times New Roman"/>
          <w:sz w:val="22"/>
          <w:szCs w:val="22"/>
        </w:rPr>
        <w:t xml:space="preserve">”) bağlı olarak yürürlüğe giren Ticari Reklam ve Haksız Ticari Uygulamalar Yönetmeliği </w:t>
      </w:r>
      <w:r w:rsidRPr="00EB2DC8">
        <w:rPr>
          <w:rFonts w:ascii="Times New Roman" w:hAnsi="Times New Roman" w:cs="Times New Roman"/>
          <w:sz w:val="22"/>
          <w:szCs w:val="22"/>
        </w:rPr>
        <w:lastRenderedPageBreak/>
        <w:t>(“</w:t>
      </w:r>
      <w:r w:rsidRPr="00EB2DC8">
        <w:rPr>
          <w:rFonts w:ascii="Times New Roman" w:hAnsi="Times New Roman" w:cs="Times New Roman"/>
          <w:b/>
          <w:bCs/>
          <w:sz w:val="22"/>
          <w:szCs w:val="22"/>
        </w:rPr>
        <w:t>Ticari Reklam Yönetmeliği</w:t>
      </w:r>
      <w:r w:rsidRPr="00EB2DC8">
        <w:rPr>
          <w:rFonts w:ascii="Times New Roman" w:hAnsi="Times New Roman" w:cs="Times New Roman"/>
          <w:sz w:val="22"/>
          <w:szCs w:val="22"/>
        </w:rPr>
        <w:t>”) ile düzenlenmiştir. Bu düzenlemeler uyarınca ticari uygulamada bulunan reklam veren satıcılar, reklam ajansları ve mecra kuruluşları örneğin e-ticaret platformu gibi iletişim mecraları kanun ve ikincil düzenlemelerde belirtilen ilkelere uymakla yükümlüdür. Dolayısıyla e-ticaret sitesi üzerinden mal/hizmet sunan satıcılar, yayınladıkları reklamın TKHK 61. ve 62. maddeleri ile Yönetmelik’te öngörülen dürüstlük, açıklık ve doğruluk ilkelerine uygun olmasından sorumludur. Örneğin, reklam veren satıcı, beyan ettiği iddiaları ispatlayabilecek belgeleri ibraz etmekle yükümlüdür.</w:t>
      </w:r>
    </w:p>
    <w:p w14:paraId="275E3A8F" w14:textId="77777777" w:rsidR="00A139E7" w:rsidRPr="00EB2DC8" w:rsidRDefault="00A139E7" w:rsidP="00A139E7">
      <w:pPr>
        <w:jc w:val="both"/>
        <w:rPr>
          <w:rFonts w:ascii="Times New Roman" w:hAnsi="Times New Roman" w:cs="Times New Roman"/>
          <w:sz w:val="22"/>
          <w:szCs w:val="22"/>
        </w:rPr>
      </w:pPr>
      <w:r w:rsidRPr="00EB2DC8">
        <w:rPr>
          <w:rFonts w:ascii="Times New Roman" w:hAnsi="Times New Roman" w:cs="Times New Roman"/>
          <w:sz w:val="22"/>
          <w:szCs w:val="22"/>
        </w:rPr>
        <w:t>Platformlar ise muhatap olarak burada “mecra kuruluşu” veya “aracı hizmet sağlayıcı” konumundadır. Reklâmı yayınlayan, nakleden veya sunan mecra kuruluşları (internet platformları da dahil) reklamın kabulünde ve kamuoyuna sunumunda gerekli dikkat ve özeni göstermek zorundadır. Bu noktada satıcı, reklam içeriğindeki olası aksaklıkları önceden denetlemekle yükümlü kabul edilir. Ancak 6563 sayılı Elektronik Ticaretin Düzenlenmesi Hakkında Kanun (“</w:t>
      </w:r>
      <w:r w:rsidRPr="00EB2DC8">
        <w:rPr>
          <w:rFonts w:ascii="Times New Roman" w:hAnsi="Times New Roman" w:cs="Times New Roman"/>
          <w:b/>
          <w:bCs/>
          <w:sz w:val="22"/>
          <w:szCs w:val="22"/>
        </w:rPr>
        <w:t>ETK</w:t>
      </w:r>
      <w:r w:rsidRPr="00EB2DC8">
        <w:rPr>
          <w:rFonts w:ascii="Times New Roman" w:hAnsi="Times New Roman" w:cs="Times New Roman"/>
          <w:sz w:val="22"/>
          <w:szCs w:val="22"/>
        </w:rPr>
        <w:t>”) aracı hizmet sağlayıcıya ilişkin hükümleri, dijital ortamda bir platformun sorumluluğunu sınırlamış; lisanssız içeriklerden platformun genel olarak sorumlu olmadığı benimsenmiştir. Buna göre, platform satıcının yaptığı reklama doğrudan müdahil olmayıp, içeriğe ilişkin hukuka aykırılığı öğrenmesi durumunda içeriği kaldırmak zorundadır.</w:t>
      </w:r>
    </w:p>
    <w:p w14:paraId="64F9446F" w14:textId="77777777" w:rsidR="00A139E7" w:rsidRPr="00EB2DC8" w:rsidRDefault="00A139E7" w:rsidP="00A139E7">
      <w:pPr>
        <w:jc w:val="both"/>
        <w:rPr>
          <w:rFonts w:ascii="Times New Roman" w:hAnsi="Times New Roman" w:cs="Times New Roman"/>
          <w:b/>
          <w:bCs/>
          <w:sz w:val="22"/>
          <w:szCs w:val="22"/>
        </w:rPr>
      </w:pPr>
      <w:r w:rsidRPr="00EB2DC8">
        <w:rPr>
          <w:rFonts w:ascii="Times New Roman" w:hAnsi="Times New Roman" w:cs="Times New Roman"/>
          <w:b/>
          <w:bCs/>
          <w:sz w:val="22"/>
          <w:szCs w:val="22"/>
        </w:rPr>
        <w:t>6502 sayılı Tüketicinin Korunması Hakkında Kanun (“TKHK”) Hükümleri Bakımından İncelenme</w:t>
      </w:r>
    </w:p>
    <w:p w14:paraId="49C330EA" w14:textId="77777777" w:rsidR="00A139E7" w:rsidRPr="00EB2DC8" w:rsidRDefault="00A139E7" w:rsidP="00A139E7">
      <w:pPr>
        <w:jc w:val="both"/>
        <w:rPr>
          <w:rFonts w:ascii="Times New Roman" w:hAnsi="Times New Roman" w:cs="Times New Roman"/>
          <w:sz w:val="22"/>
          <w:szCs w:val="22"/>
        </w:rPr>
      </w:pPr>
      <w:proofErr w:type="spellStart"/>
      <w:r w:rsidRPr="00EB2DC8">
        <w:rPr>
          <w:rFonts w:ascii="Times New Roman" w:hAnsi="Times New Roman" w:cs="Times New Roman"/>
          <w:sz w:val="22"/>
          <w:szCs w:val="22"/>
        </w:rPr>
        <w:t>TKHK’nın</w:t>
      </w:r>
      <w:proofErr w:type="spellEnd"/>
      <w:r w:rsidRPr="00EB2DC8">
        <w:rPr>
          <w:rFonts w:ascii="Times New Roman" w:hAnsi="Times New Roman" w:cs="Times New Roman"/>
          <w:sz w:val="22"/>
          <w:szCs w:val="22"/>
        </w:rPr>
        <w:t xml:space="preserve"> 61. maddesi ticari reklamı tanımlayarak reklam içeriğinin dürüst, doğru ve tüketiciyi yanıltıcı olmayan şekilde yapılmasını zorunlu kılar. Madde 61/2 uyarınca reklamlar “Reklam Kurulunca belirlenen ilkelere, genel ahlaka, kamu düzenine, kişilik haklarına uygun, doğru ve dürüst” olmalıdır. Kanun 61/3’te, reklamın tüketiciyi aldatıcı veya deneyim eksikliğini istismar edici nitelikte olamayacağı, can ve mal güvenliğini tehlikeye düşürecek, şiddet ya da suç işlemeyi özendirecek unsurlar içeremeyeceği açıkça hükme bağlanmıştır. Örtülü reklam (reklam olduğu belli edilmeden yapılan tanıtım) tüm iletişim araçlarında yasaklanmıştır. Öte yandan 61/5’te, karşılaştırmalı reklamların yapılabileceği öngörülmüştür. Reklam veren satıcı, reklamdaki tüm iddiaların doğruluğunu ispatla yükümlüdür.</w:t>
      </w:r>
    </w:p>
    <w:p w14:paraId="60384BA2" w14:textId="77777777" w:rsidR="00A139E7" w:rsidRPr="00EB2DC8" w:rsidRDefault="00A139E7" w:rsidP="00A139E7">
      <w:pPr>
        <w:jc w:val="both"/>
        <w:rPr>
          <w:rFonts w:ascii="Times New Roman" w:hAnsi="Times New Roman" w:cs="Times New Roman"/>
          <w:sz w:val="22"/>
          <w:szCs w:val="22"/>
        </w:rPr>
      </w:pPr>
      <w:proofErr w:type="spellStart"/>
      <w:r w:rsidRPr="00EB2DC8">
        <w:rPr>
          <w:rFonts w:ascii="Times New Roman" w:hAnsi="Times New Roman" w:cs="Times New Roman"/>
          <w:sz w:val="22"/>
          <w:szCs w:val="22"/>
        </w:rPr>
        <w:t>TKHK’nın</w:t>
      </w:r>
      <w:proofErr w:type="spellEnd"/>
      <w:r w:rsidRPr="00EB2DC8">
        <w:rPr>
          <w:rFonts w:ascii="Times New Roman" w:hAnsi="Times New Roman" w:cs="Times New Roman"/>
          <w:sz w:val="22"/>
          <w:szCs w:val="22"/>
        </w:rPr>
        <w:t xml:space="preserve"> 62. maddesi ise haksız ticari uygulamaları düzenler. Buna göre, mesleki özen kurallarına uymayan ve ortalama tüketicinin ekonomik davranışını önemli ölçüde etkileyecek ticari uygulamalar haksız kabul edilir. Özellikle aldatıcı veya saldırgan nitelikteki uygulamalar yasaktır. Bu halde, haksız uygulama reklam yoluyla gerçekleşiyorsa Kanun’un Reklam hükümleri (61. madde) uygulanır. İhlal halinde, Reklam Kurulu Kanun’un 63. maddesi uyarınca durdurma, düzeltme ve idari para cezası gibi yaptırımlar uygulayabilir.</w:t>
      </w:r>
    </w:p>
    <w:p w14:paraId="6ABA82C1" w14:textId="77777777" w:rsidR="00A139E7" w:rsidRPr="00EB2DC8" w:rsidRDefault="00A139E7" w:rsidP="00A139E7">
      <w:pPr>
        <w:jc w:val="both"/>
        <w:rPr>
          <w:rFonts w:ascii="Times New Roman" w:hAnsi="Times New Roman" w:cs="Times New Roman"/>
          <w:b/>
          <w:bCs/>
          <w:sz w:val="22"/>
          <w:szCs w:val="22"/>
        </w:rPr>
      </w:pPr>
      <w:r w:rsidRPr="00EB2DC8">
        <w:rPr>
          <w:rFonts w:ascii="Times New Roman" w:hAnsi="Times New Roman" w:cs="Times New Roman"/>
          <w:b/>
          <w:bCs/>
          <w:sz w:val="22"/>
          <w:szCs w:val="22"/>
        </w:rPr>
        <w:t>ETK Hükümleri</w:t>
      </w:r>
    </w:p>
    <w:p w14:paraId="10371E74" w14:textId="77777777" w:rsidR="00A139E7" w:rsidRPr="00EB2DC8" w:rsidRDefault="00A139E7" w:rsidP="00A139E7">
      <w:pPr>
        <w:jc w:val="both"/>
        <w:rPr>
          <w:rFonts w:ascii="Times New Roman" w:hAnsi="Times New Roman" w:cs="Times New Roman"/>
          <w:sz w:val="22"/>
          <w:szCs w:val="22"/>
        </w:rPr>
      </w:pPr>
      <w:r w:rsidRPr="00EB2DC8">
        <w:rPr>
          <w:rFonts w:ascii="Times New Roman" w:hAnsi="Times New Roman" w:cs="Times New Roman"/>
          <w:sz w:val="22"/>
          <w:szCs w:val="22"/>
        </w:rPr>
        <w:t>ETK, elektronik ticarette e-ticaret sitesi (platform) işleten aracı hizmet sağlayıcı ile satıcı (hizmet sağlayıcı) ilişkilerini düzenler. Kanun’un “Ticari iletişime ilişkin esaslar” başlıklı 5. maddesi, elektronik ortamda sunulan promosyon ve reklamların şeffaflığına vurgu yapar. Buna göre ticari iletişimde, iletişimin kimin adına yapıldığı açıkça belirtilmeli; indirim, hediye, kampanya, yarışma gibi promosyonların niteliği ve koşulları anlaşılır biçimde duyurulmalıdır. Örneğin bir kampanyada sunulan indirim veya hediyenin koşulları, katılım şartları ile kampanya süresine ilişkin bilgi kolayca erişilebilir olmalıdır. 6–8. maddeler ise ticari elektronik iletiler için ön onay, içerik ve reddetme hakkı gibi hükümler içerir; bu kapsamda satıcılar ticari elektronik pazarlama (SMS, e-posta vb.) yaparken izin ve kimlik bildirimine uymalıdır.</w:t>
      </w:r>
    </w:p>
    <w:p w14:paraId="2D97F0AE" w14:textId="77777777" w:rsidR="00A139E7" w:rsidRPr="00EB2DC8" w:rsidRDefault="00A139E7" w:rsidP="00A139E7">
      <w:pPr>
        <w:jc w:val="both"/>
        <w:rPr>
          <w:rFonts w:ascii="Times New Roman" w:hAnsi="Times New Roman" w:cs="Times New Roman"/>
          <w:sz w:val="22"/>
          <w:szCs w:val="22"/>
        </w:rPr>
      </w:pPr>
      <w:proofErr w:type="spellStart"/>
      <w:r w:rsidRPr="00EB2DC8">
        <w:rPr>
          <w:rFonts w:ascii="Times New Roman" w:hAnsi="Times New Roman" w:cs="Times New Roman"/>
          <w:sz w:val="22"/>
          <w:szCs w:val="22"/>
        </w:rPr>
        <w:t>ETK’nın</w:t>
      </w:r>
      <w:proofErr w:type="spellEnd"/>
      <w:r w:rsidRPr="00EB2DC8">
        <w:rPr>
          <w:rFonts w:ascii="Times New Roman" w:hAnsi="Times New Roman" w:cs="Times New Roman"/>
          <w:sz w:val="22"/>
          <w:szCs w:val="22"/>
        </w:rPr>
        <w:t xml:space="preserve"> 9. maddesi ise aracı hizmet sağlayıcının örneğin e-ticaret platformunun sorumluluğunu düzenler. Bu maddeye göre, aksi yasal bir hüküm yoksa, aracı hizmet sağlayıcı, hizmet sağlayıcı satıcı tarafından sunulan içerik ile mal veya hizmete ilişkin hukuka aykırılıktan sorumlu tutulamaz. Ancak </w:t>
      </w:r>
      <w:r w:rsidRPr="00EB2DC8">
        <w:rPr>
          <w:rFonts w:ascii="Times New Roman" w:hAnsi="Times New Roman" w:cs="Times New Roman"/>
          <w:sz w:val="22"/>
          <w:szCs w:val="22"/>
        </w:rPr>
        <w:lastRenderedPageBreak/>
        <w:t>hukuka aykırı içerikten haberdar olduğunda, ilgili içeriği derhal yayından kaldırmak ve konuyla ilgili kamu kurumlarına bildirimde bulunmak zorundadır. Bu düzenleme, platformu bir anlamda içerik sağlayıcıya ilişkin izleme yükümlülüğüyle sınırlandırır; platform, satıcıya ait reklam içeriğinin uygunluğu konusunda sorumlu tutulmaz, ancak ihlal tespit edildiğinde müdahale etmelidir.</w:t>
      </w:r>
    </w:p>
    <w:p w14:paraId="38F900F4" w14:textId="77777777" w:rsidR="00A139E7" w:rsidRPr="00EB2DC8" w:rsidRDefault="00A139E7" w:rsidP="00A139E7">
      <w:pPr>
        <w:jc w:val="both"/>
        <w:rPr>
          <w:rFonts w:ascii="Times New Roman" w:hAnsi="Times New Roman" w:cs="Times New Roman"/>
          <w:b/>
          <w:bCs/>
          <w:sz w:val="22"/>
          <w:szCs w:val="22"/>
        </w:rPr>
      </w:pPr>
      <w:r w:rsidRPr="00EB2DC8">
        <w:rPr>
          <w:rFonts w:ascii="Times New Roman" w:hAnsi="Times New Roman" w:cs="Times New Roman"/>
          <w:b/>
          <w:bCs/>
          <w:sz w:val="22"/>
          <w:szCs w:val="22"/>
        </w:rPr>
        <w:t>Erişilebilirlik, Bilgilendirme ve Kampanya Şeffaflığı Yükümlülükleri</w:t>
      </w:r>
    </w:p>
    <w:p w14:paraId="43A65DE4" w14:textId="77777777" w:rsidR="00A139E7" w:rsidRPr="00EB2DC8" w:rsidRDefault="00A139E7" w:rsidP="00A139E7">
      <w:pPr>
        <w:jc w:val="both"/>
        <w:rPr>
          <w:rFonts w:ascii="Times New Roman" w:hAnsi="Times New Roman" w:cs="Times New Roman"/>
          <w:sz w:val="22"/>
          <w:szCs w:val="22"/>
        </w:rPr>
      </w:pPr>
      <w:r w:rsidRPr="00EB2DC8">
        <w:rPr>
          <w:rFonts w:ascii="Times New Roman" w:hAnsi="Times New Roman" w:cs="Times New Roman"/>
          <w:sz w:val="22"/>
          <w:szCs w:val="22"/>
        </w:rPr>
        <w:t>Tüketicilerin doğru ve eksiksiz bilgiye erişimini sağlamak amacıyla mevzuat çeşitli yükümlülükler öngörür. Ticari Reklam Yönetmeliği’nin 19. maddesine göre, reklamlarda tüketici kararını etkileyecek bilgilerin ortalama bir tüketicinin algılayabileceği süre ve biçimde verilmesi gerekir. Örneğin altyazı veya küçük puntolu dipnotlarla verilemeyen temel vaatler ana metinde açıkça iletilmelidir; radyo, kısa mesaj gibi altyazı yapılamayan mecralarda ise tüketiciye ayrıntılı bilgi alınabilecek müşteri hizmetleri numarası veya internet sitesi yönlendirmesi yapılması zorunludur. Altyazı ve dipnotların okunabilir olması, metin ile arka plan kontrastının yeterli tutulması gibi teknik gereklilikler de yönetmelikte ayrıntılı şekilde düzenlenmiştir. Bu şekilde, reklamdaki “gizli mesaj” riski en aza indirilmiştir.</w:t>
      </w:r>
    </w:p>
    <w:p w14:paraId="606CD815" w14:textId="77777777" w:rsidR="00A139E7" w:rsidRPr="00EB2DC8" w:rsidRDefault="00A139E7" w:rsidP="00A139E7">
      <w:pPr>
        <w:jc w:val="both"/>
        <w:rPr>
          <w:rFonts w:ascii="Times New Roman" w:hAnsi="Times New Roman" w:cs="Times New Roman"/>
          <w:sz w:val="22"/>
          <w:szCs w:val="22"/>
        </w:rPr>
      </w:pPr>
      <w:r w:rsidRPr="00EB2DC8">
        <w:rPr>
          <w:rFonts w:ascii="Times New Roman" w:hAnsi="Times New Roman" w:cs="Times New Roman"/>
          <w:sz w:val="22"/>
          <w:szCs w:val="22"/>
        </w:rPr>
        <w:t>Kampanya duyurularında şeffaflık da mevzuat emridir. ETK ve Ticari Reklam Yönetmeliği hükümleri, indirim veya hediye vaat eden kampanyalarda koşulların açıkça belirtilmesini ister. Örneğin indirimli satış reklamlarında; indirim yapılan ürünün marka, model vb. özellikleri; indirim öncesi ve sonraki fiyatlar birlikte okunabilir şekilde gösterilmeli; indirim başlangıç ve bitiş tarihleri ilan edilmelidir. Satıcı, yapılan indirimin miktarı veya oranı hesaplanırken önceki fiyat olarak indirimli fiyattan önceki fiyatı esas alır. Ayrıca, stok sayısı sınırlı ürünlerde kalan adetlerin açıkça belirtilmesi zorunludur. Çekiliş, yarışma veya hediye vaadi içeren reklamlarda da katılım koşulları, ikramiye miktarları, geçerlilik süreleri ayrıntılı açıklanmalıdır. Bu kurallarla, tüketicinin gerçek olmayan avantaj beklentisiyle yanıltılması önlenmeye çalışılmaktadır.</w:t>
      </w:r>
    </w:p>
    <w:p w14:paraId="4AAA78D1" w14:textId="77777777" w:rsidR="00A139E7" w:rsidRPr="00EB2DC8" w:rsidRDefault="00A139E7" w:rsidP="00A139E7">
      <w:pPr>
        <w:jc w:val="both"/>
        <w:rPr>
          <w:rFonts w:ascii="Times New Roman" w:hAnsi="Times New Roman" w:cs="Times New Roman"/>
          <w:b/>
          <w:bCs/>
          <w:sz w:val="22"/>
          <w:szCs w:val="22"/>
        </w:rPr>
      </w:pPr>
      <w:r w:rsidRPr="00EB2DC8">
        <w:rPr>
          <w:rFonts w:ascii="Times New Roman" w:hAnsi="Times New Roman" w:cs="Times New Roman"/>
          <w:b/>
          <w:bCs/>
          <w:sz w:val="22"/>
          <w:szCs w:val="22"/>
        </w:rPr>
        <w:t>Yasaklı Reklam Türleri</w:t>
      </w:r>
    </w:p>
    <w:p w14:paraId="08E9C5F1" w14:textId="77777777" w:rsidR="00A139E7" w:rsidRPr="00EB2DC8" w:rsidRDefault="00A139E7" w:rsidP="00A139E7">
      <w:pPr>
        <w:jc w:val="both"/>
        <w:rPr>
          <w:rFonts w:ascii="Times New Roman" w:hAnsi="Times New Roman" w:cs="Times New Roman"/>
          <w:sz w:val="22"/>
          <w:szCs w:val="22"/>
        </w:rPr>
      </w:pPr>
      <w:r w:rsidRPr="00EB2DC8">
        <w:rPr>
          <w:rFonts w:ascii="Times New Roman" w:hAnsi="Times New Roman" w:cs="Times New Roman"/>
          <w:sz w:val="22"/>
          <w:szCs w:val="22"/>
        </w:rPr>
        <w:t xml:space="preserve">Mevzuat yanıltıcı ve aldatıcı reklam uygulamalarını kesin olarak yasaklar. Öncelikle örtülü reklam kesin yasaktır. TKHK 61/4 ve Ticari Reklam Yönetmeliği 23. maddesi uyarınca, reklâm olduğu açıkça belirtilmeksizin haber, program veya yayına ticari marka, logo ya da ifadelerin tanıtım amacıyla konulması yasaktır. Yanıltıcı reklam da yasaktır; yani tüketiciyi yanlış bilgiyle yanıltan, gerçek dışı indirim veya satış koşulları sunan reklamlar hukuka aykırıdır. Özellikle süre veya stok sınırı varmış gibi yapılan yanıltıcı kampanyalar haksız ticari uygulama sayılır. Örneğin Reklam Kurulu, “Son fırsat”, “Sınırlı süreli” ibareleriyle yürütülen kampanyalarda süre bitiminde aynı koşullarla kampanyanın devam etmesinin tüketiciyi yanıltıcı olduğuna karar vermiştir. Bu türdeki uygulamalar, </w:t>
      </w:r>
      <w:proofErr w:type="spellStart"/>
      <w:r w:rsidRPr="00EB2DC8">
        <w:rPr>
          <w:rFonts w:ascii="Times New Roman" w:hAnsi="Times New Roman" w:cs="Times New Roman"/>
          <w:sz w:val="22"/>
          <w:szCs w:val="22"/>
        </w:rPr>
        <w:t>TKHK’nin</w:t>
      </w:r>
      <w:proofErr w:type="spellEnd"/>
      <w:r w:rsidRPr="00EB2DC8">
        <w:rPr>
          <w:rFonts w:ascii="Times New Roman" w:hAnsi="Times New Roman" w:cs="Times New Roman"/>
          <w:sz w:val="22"/>
          <w:szCs w:val="22"/>
        </w:rPr>
        <w:t xml:space="preserve"> 62. maddesine göre haksız ticari uygulama olarak kabul edilmektedir.</w:t>
      </w:r>
    </w:p>
    <w:p w14:paraId="0B5B6421" w14:textId="77777777" w:rsidR="00A139E7" w:rsidRPr="00EB2DC8" w:rsidRDefault="00A139E7" w:rsidP="00A139E7">
      <w:pPr>
        <w:jc w:val="both"/>
        <w:rPr>
          <w:rFonts w:ascii="Times New Roman" w:hAnsi="Times New Roman" w:cs="Times New Roman"/>
          <w:sz w:val="22"/>
          <w:szCs w:val="22"/>
        </w:rPr>
      </w:pPr>
      <w:r w:rsidRPr="00EB2DC8">
        <w:rPr>
          <w:rFonts w:ascii="Times New Roman" w:hAnsi="Times New Roman" w:cs="Times New Roman"/>
          <w:sz w:val="22"/>
          <w:szCs w:val="22"/>
        </w:rPr>
        <w:t>Karşılaştırmalı reklamlar ise hukuka uygunluk koşuluyla mümkündür. TKHK 61/5 hükmü ile TRHCU 9. madde karşılaştırmalı reklam yapmayı sınırlı olarak serbest bırakmıştır. Buna göre bir reklâmda rakip ürün veya hizmet adil ve objektif kıstaslarla karşılaştırılabilir; ancak rekabetin esasını bozmamak için rakip işletme veya markayı küçük düşürücü öğeler kullanılamaz. Hiçbir tıbbi ürün veya sağlık hizmeti için karşılaştırmalı reklam yapılamaz.</w:t>
      </w:r>
    </w:p>
    <w:p w14:paraId="4C1CF498" w14:textId="77777777" w:rsidR="00A139E7" w:rsidRPr="00EB2DC8" w:rsidRDefault="00A139E7" w:rsidP="00A139E7">
      <w:pPr>
        <w:jc w:val="both"/>
        <w:rPr>
          <w:rFonts w:ascii="Times New Roman" w:hAnsi="Times New Roman" w:cs="Times New Roman"/>
          <w:b/>
          <w:bCs/>
          <w:sz w:val="22"/>
          <w:szCs w:val="22"/>
        </w:rPr>
      </w:pPr>
      <w:r w:rsidRPr="00EB2DC8">
        <w:rPr>
          <w:rFonts w:ascii="Times New Roman" w:hAnsi="Times New Roman" w:cs="Times New Roman"/>
          <w:b/>
          <w:bCs/>
          <w:sz w:val="22"/>
          <w:szCs w:val="22"/>
        </w:rPr>
        <w:t>Aracı Hizmet Sağlayıcının Hukuki Durumu ve Sorumluluğun Sınırları</w:t>
      </w:r>
    </w:p>
    <w:p w14:paraId="0DE04450" w14:textId="77777777" w:rsidR="00A139E7" w:rsidRPr="00EB2DC8" w:rsidRDefault="00A139E7" w:rsidP="00A139E7">
      <w:pPr>
        <w:jc w:val="both"/>
        <w:rPr>
          <w:rFonts w:ascii="Times New Roman" w:hAnsi="Times New Roman" w:cs="Times New Roman"/>
          <w:sz w:val="22"/>
          <w:szCs w:val="22"/>
        </w:rPr>
      </w:pPr>
      <w:r w:rsidRPr="00EB2DC8">
        <w:rPr>
          <w:rFonts w:ascii="Times New Roman" w:hAnsi="Times New Roman" w:cs="Times New Roman"/>
          <w:sz w:val="22"/>
          <w:szCs w:val="22"/>
        </w:rPr>
        <w:t xml:space="preserve">Elektronik ticaret platformları, ETK kapsamında “aracı hizmet sağlayıcı” olarak tanımlanır. Bu statü, platformun kendi adıyla mal/hizmet satışı yapmadığını, başkalarına ait ticari faaliyetlere aracılık ettiğini gösterir. Aracı hizmet sağlayıcı, yasa gereği içeriğin hukuka aykırılığından doğrudan sorumlu tutulmaz. Örneğin satıcının reklâmındaki bir aldatıcı unsur veya ayıptan platform genel sorumlu tutulmamakta, ancak ilgili kurumlarca yapılan </w:t>
      </w:r>
      <w:proofErr w:type="gramStart"/>
      <w:r w:rsidRPr="00EB2DC8">
        <w:rPr>
          <w:rFonts w:ascii="Times New Roman" w:hAnsi="Times New Roman" w:cs="Times New Roman"/>
          <w:sz w:val="22"/>
          <w:szCs w:val="22"/>
        </w:rPr>
        <w:t>şikayet</w:t>
      </w:r>
      <w:proofErr w:type="gramEnd"/>
      <w:r w:rsidRPr="00EB2DC8">
        <w:rPr>
          <w:rFonts w:ascii="Times New Roman" w:hAnsi="Times New Roman" w:cs="Times New Roman"/>
          <w:sz w:val="22"/>
          <w:szCs w:val="22"/>
        </w:rPr>
        <w:t xml:space="preserve"> sonrası platformdan söz konusu içeriği kaldırması </w:t>
      </w:r>
      <w:r w:rsidRPr="00EB2DC8">
        <w:rPr>
          <w:rFonts w:ascii="Times New Roman" w:hAnsi="Times New Roman" w:cs="Times New Roman"/>
          <w:sz w:val="22"/>
          <w:szCs w:val="22"/>
        </w:rPr>
        <w:lastRenderedPageBreak/>
        <w:t>beklenmektedir. Halihazırda ETK md.9’</w:t>
      </w:r>
      <w:proofErr w:type="gramStart"/>
      <w:r w:rsidRPr="00EB2DC8">
        <w:rPr>
          <w:rFonts w:ascii="Times New Roman" w:hAnsi="Times New Roman" w:cs="Times New Roman"/>
          <w:sz w:val="22"/>
          <w:szCs w:val="22"/>
        </w:rPr>
        <w:t>da,</w:t>
      </w:r>
      <w:proofErr w:type="gramEnd"/>
      <w:r w:rsidRPr="00EB2DC8">
        <w:rPr>
          <w:rFonts w:ascii="Times New Roman" w:hAnsi="Times New Roman" w:cs="Times New Roman"/>
          <w:sz w:val="22"/>
          <w:szCs w:val="22"/>
        </w:rPr>
        <w:t xml:space="preserve"> platform içeriğin kendisi tarafından sağlanmadığı sürece hukuki sonuçlardan muaf tutulmuştur. Ancak reklamların denetiminde Ticaret Bakanlığı gerektiğinde platformun yayım araçlarını inceler ve bilgileri isteyebilir; ayrıca </w:t>
      </w:r>
      <w:proofErr w:type="spellStart"/>
      <w:r w:rsidRPr="00EB2DC8">
        <w:rPr>
          <w:rFonts w:ascii="Times New Roman" w:hAnsi="Times New Roman" w:cs="Times New Roman"/>
          <w:sz w:val="22"/>
          <w:szCs w:val="22"/>
        </w:rPr>
        <w:t>ETK’nın</w:t>
      </w:r>
      <w:proofErr w:type="spellEnd"/>
      <w:r w:rsidRPr="00EB2DC8">
        <w:rPr>
          <w:rFonts w:ascii="Times New Roman" w:hAnsi="Times New Roman" w:cs="Times New Roman"/>
          <w:sz w:val="22"/>
          <w:szCs w:val="22"/>
        </w:rPr>
        <w:t xml:space="preserve"> 11. hükmüne göre platformlar elektronik ticaret işlemlerine ilişkin kayıtları 10 yıl saklamak zorundadır. Bu çerçevede, platformların aktif reklam </w:t>
      </w:r>
      <w:proofErr w:type="spellStart"/>
      <w:r w:rsidRPr="00EB2DC8">
        <w:rPr>
          <w:rFonts w:ascii="Times New Roman" w:hAnsi="Times New Roman" w:cs="Times New Roman"/>
          <w:sz w:val="22"/>
          <w:szCs w:val="22"/>
        </w:rPr>
        <w:t>hazırlamacısı</w:t>
      </w:r>
      <w:proofErr w:type="spellEnd"/>
      <w:r w:rsidRPr="00EB2DC8">
        <w:rPr>
          <w:rFonts w:ascii="Times New Roman" w:hAnsi="Times New Roman" w:cs="Times New Roman"/>
          <w:sz w:val="22"/>
          <w:szCs w:val="22"/>
        </w:rPr>
        <w:t xml:space="preserve"> olmadığı vurgulanırken, ihlali öğrenince müdahale yükümlülüğü ile sınırlı bir sorumluluk öngörülmüştür</w:t>
      </w:r>
    </w:p>
    <w:p w14:paraId="6FA96369" w14:textId="77777777" w:rsidR="00A139E7" w:rsidRPr="00EB2DC8" w:rsidRDefault="00A139E7" w:rsidP="00A139E7">
      <w:pPr>
        <w:jc w:val="both"/>
        <w:rPr>
          <w:rFonts w:ascii="Times New Roman" w:hAnsi="Times New Roman" w:cs="Times New Roman"/>
          <w:b/>
          <w:bCs/>
          <w:sz w:val="22"/>
          <w:szCs w:val="22"/>
        </w:rPr>
      </w:pPr>
      <w:r w:rsidRPr="00EB2DC8">
        <w:rPr>
          <w:rFonts w:ascii="Times New Roman" w:hAnsi="Times New Roman" w:cs="Times New Roman"/>
          <w:b/>
          <w:bCs/>
          <w:sz w:val="22"/>
          <w:szCs w:val="22"/>
        </w:rPr>
        <w:t>Sonuç</w:t>
      </w:r>
    </w:p>
    <w:p w14:paraId="5057B5BE" w14:textId="77777777" w:rsidR="00A139E7" w:rsidRPr="00EB2DC8" w:rsidRDefault="00A139E7" w:rsidP="00A139E7">
      <w:pPr>
        <w:jc w:val="both"/>
        <w:rPr>
          <w:rFonts w:ascii="Times New Roman" w:hAnsi="Times New Roman" w:cs="Times New Roman"/>
          <w:sz w:val="22"/>
          <w:szCs w:val="22"/>
        </w:rPr>
      </w:pPr>
      <w:r w:rsidRPr="00EB2DC8">
        <w:rPr>
          <w:rFonts w:ascii="Times New Roman" w:hAnsi="Times New Roman" w:cs="Times New Roman"/>
          <w:sz w:val="22"/>
          <w:szCs w:val="22"/>
        </w:rPr>
        <w:t xml:space="preserve">Sonuç olarak, Türk mevzuatına göre e-ticaret satıcısı reklam ve promosyonlarında </w:t>
      </w:r>
      <w:proofErr w:type="spellStart"/>
      <w:r w:rsidRPr="00EB2DC8">
        <w:rPr>
          <w:rFonts w:ascii="Times New Roman" w:hAnsi="Times New Roman" w:cs="Times New Roman"/>
          <w:sz w:val="22"/>
          <w:szCs w:val="22"/>
        </w:rPr>
        <w:t>TKHK’nin</w:t>
      </w:r>
      <w:proofErr w:type="spellEnd"/>
      <w:r w:rsidRPr="00EB2DC8">
        <w:rPr>
          <w:rFonts w:ascii="Times New Roman" w:hAnsi="Times New Roman" w:cs="Times New Roman"/>
          <w:sz w:val="22"/>
          <w:szCs w:val="22"/>
        </w:rPr>
        <w:t xml:space="preserve"> 61–62. maddeleri ile bu kanuna bağlı yönetmelik hükümlerine, aracı platform ise </w:t>
      </w:r>
      <w:proofErr w:type="spellStart"/>
      <w:r w:rsidRPr="00EB2DC8">
        <w:rPr>
          <w:rFonts w:ascii="Times New Roman" w:hAnsi="Times New Roman" w:cs="Times New Roman"/>
          <w:sz w:val="22"/>
          <w:szCs w:val="22"/>
        </w:rPr>
        <w:t>ETK’nın</w:t>
      </w:r>
      <w:proofErr w:type="spellEnd"/>
      <w:r w:rsidRPr="00EB2DC8">
        <w:rPr>
          <w:rFonts w:ascii="Times New Roman" w:hAnsi="Times New Roman" w:cs="Times New Roman"/>
          <w:sz w:val="22"/>
          <w:szCs w:val="22"/>
        </w:rPr>
        <w:t xml:space="preserve"> öngördüğü aracı sorumluluğu düzenlemelerine tabidir. Reklam metinleri hem Kanun’da hem ikincil düzenlemelerde belirlenen doğruluk, dürüstlük, açıklık ilkelerine uygun olmalı, kampanya ve indirim ilanlarında aranan özel açıklamalar (fiyat, tarih, stok bilgisi vb.) eksiksiz sağlanmalıdır. Aksi halde Reklam Kurulu uygulamada yoğun yaptırım mekanizması işletmekte hem hukuki güvenlik hem tüketici koruması amacıyla ihlallerde firmalara durdurma ve ağır cezalara hükmetmektedir.</w:t>
      </w:r>
    </w:p>
    <w:p w14:paraId="4FE42AF1" w14:textId="77777777" w:rsidR="00A139E7" w:rsidRPr="00EB2DC8" w:rsidRDefault="00A139E7" w:rsidP="00A139E7">
      <w:pPr>
        <w:jc w:val="both"/>
        <w:rPr>
          <w:rFonts w:ascii="Times New Roman" w:hAnsi="Times New Roman" w:cs="Times New Roman"/>
          <w:sz w:val="22"/>
          <w:szCs w:val="22"/>
        </w:rPr>
      </w:pPr>
    </w:p>
    <w:p w14:paraId="44CED064" w14:textId="77777777" w:rsidR="00543C8B" w:rsidRPr="00EB2DC8" w:rsidRDefault="00543C8B" w:rsidP="00543C8B">
      <w:pPr>
        <w:tabs>
          <w:tab w:val="num" w:pos="567"/>
        </w:tabs>
        <w:spacing w:after="0" w:line="276" w:lineRule="auto"/>
        <w:jc w:val="both"/>
        <w:rPr>
          <w:rFonts w:ascii="Times New Roman" w:hAnsi="Times New Roman" w:cs="Times New Roman"/>
          <w:b/>
          <w:bCs/>
          <w:sz w:val="22"/>
          <w:szCs w:val="22"/>
        </w:rPr>
      </w:pPr>
    </w:p>
    <w:p w14:paraId="406895AC" w14:textId="77777777" w:rsidR="00A139E7" w:rsidRPr="00EB2DC8" w:rsidRDefault="00A139E7" w:rsidP="00543C8B">
      <w:pPr>
        <w:tabs>
          <w:tab w:val="num" w:pos="567"/>
        </w:tabs>
        <w:spacing w:after="0" w:line="276" w:lineRule="auto"/>
        <w:jc w:val="both"/>
        <w:rPr>
          <w:rFonts w:ascii="Times New Roman" w:hAnsi="Times New Roman" w:cs="Times New Roman"/>
          <w:b/>
          <w:bCs/>
          <w:sz w:val="22"/>
          <w:szCs w:val="22"/>
        </w:rPr>
      </w:pPr>
    </w:p>
    <w:p w14:paraId="5986CEC1" w14:textId="77777777" w:rsidR="001824D6" w:rsidRPr="00EB2DC8" w:rsidRDefault="001824D6" w:rsidP="001824D6">
      <w:pPr>
        <w:numPr>
          <w:ilvl w:val="0"/>
          <w:numId w:val="1"/>
        </w:numPr>
        <w:tabs>
          <w:tab w:val="clear" w:pos="720"/>
          <w:tab w:val="num" w:pos="567"/>
        </w:tabs>
        <w:spacing w:after="0" w:line="276" w:lineRule="auto"/>
        <w:ind w:left="0"/>
        <w:jc w:val="both"/>
        <w:rPr>
          <w:rFonts w:ascii="Times New Roman" w:hAnsi="Times New Roman" w:cs="Times New Roman"/>
          <w:b/>
          <w:bCs/>
          <w:sz w:val="22"/>
          <w:szCs w:val="22"/>
        </w:rPr>
      </w:pPr>
      <w:r w:rsidRPr="00EB2DC8">
        <w:rPr>
          <w:rFonts w:ascii="Times New Roman" w:hAnsi="Times New Roman" w:cs="Times New Roman"/>
          <w:b/>
          <w:bCs/>
          <w:sz w:val="22"/>
          <w:szCs w:val="22"/>
        </w:rPr>
        <w:t xml:space="preserve">ELEKTRONİK TİCARETTE ŞEFFAFLIK YÜKÜMLÜLÜĞÜ VE ALGORİTMİK SIRALAMA UYGULAMALARI </w:t>
      </w:r>
    </w:p>
    <w:p w14:paraId="398F1BD4" w14:textId="77777777" w:rsidR="00A139E7" w:rsidRPr="00EB2DC8" w:rsidRDefault="00A139E7" w:rsidP="00A139E7">
      <w:pPr>
        <w:tabs>
          <w:tab w:val="num" w:pos="567"/>
        </w:tabs>
        <w:spacing w:after="0" w:line="276" w:lineRule="auto"/>
        <w:jc w:val="both"/>
        <w:rPr>
          <w:rFonts w:ascii="Times New Roman" w:hAnsi="Times New Roman" w:cs="Times New Roman"/>
          <w:b/>
          <w:bCs/>
          <w:sz w:val="22"/>
          <w:szCs w:val="22"/>
        </w:rPr>
      </w:pPr>
    </w:p>
    <w:p w14:paraId="2A7378BE" w14:textId="77777777" w:rsidR="008B4AF7" w:rsidRPr="00EB2DC8" w:rsidRDefault="008B4AF7" w:rsidP="008B4AF7">
      <w:pPr>
        <w:jc w:val="both"/>
        <w:rPr>
          <w:rFonts w:ascii="Times New Roman" w:hAnsi="Times New Roman" w:cs="Times New Roman"/>
          <w:b/>
          <w:bCs/>
          <w:sz w:val="22"/>
          <w:szCs w:val="22"/>
        </w:rPr>
      </w:pPr>
      <w:r w:rsidRPr="00EB2DC8">
        <w:rPr>
          <w:rFonts w:ascii="Times New Roman" w:hAnsi="Times New Roman" w:cs="Times New Roman"/>
          <w:b/>
          <w:bCs/>
          <w:sz w:val="22"/>
          <w:szCs w:val="22"/>
        </w:rPr>
        <w:t>Şeffaflık Yükümlülüğünün Dayanağı</w:t>
      </w:r>
    </w:p>
    <w:p w14:paraId="2AEBEBEA" w14:textId="77777777" w:rsidR="008B4AF7" w:rsidRPr="00EB2DC8" w:rsidRDefault="008B4AF7" w:rsidP="008B4AF7">
      <w:pPr>
        <w:jc w:val="both"/>
        <w:rPr>
          <w:rFonts w:ascii="Times New Roman" w:hAnsi="Times New Roman" w:cs="Times New Roman"/>
          <w:sz w:val="22"/>
          <w:szCs w:val="22"/>
        </w:rPr>
      </w:pPr>
      <w:r w:rsidRPr="00EB2DC8">
        <w:rPr>
          <w:rFonts w:ascii="Times New Roman" w:hAnsi="Times New Roman" w:cs="Times New Roman"/>
          <w:sz w:val="22"/>
          <w:szCs w:val="22"/>
        </w:rPr>
        <w:t>Türkiye’de elektronik ticaretin temel kuralları 6563 Elektronik Ticaretin Düzenlenmesi Hakkında Kanun (“</w:t>
      </w:r>
      <w:r w:rsidRPr="00EB2DC8">
        <w:rPr>
          <w:rFonts w:ascii="Times New Roman" w:hAnsi="Times New Roman" w:cs="Times New Roman"/>
          <w:b/>
          <w:bCs/>
          <w:sz w:val="22"/>
          <w:szCs w:val="22"/>
        </w:rPr>
        <w:t>ETK</w:t>
      </w:r>
      <w:r w:rsidRPr="00EB2DC8">
        <w:rPr>
          <w:rFonts w:ascii="Times New Roman" w:hAnsi="Times New Roman" w:cs="Times New Roman"/>
          <w:sz w:val="22"/>
          <w:szCs w:val="22"/>
        </w:rPr>
        <w:t xml:space="preserve">”) ile belirlenmiştir. Kanun’un 3. maddesine göre, hizmet sağlayıcı elektronik ortamda sözleşme yapılmadan önce, alıcıya tanıtıcı bilgilerini, sözleşme adımlarını, sözleşme saklama durumu ve gizlilik koşullarını kolayca ulaşılabilir biçimde sunmakla yükümlüdür. Bu hüküm kapsamında satıcı veya platformlar, MERSİS/VERGİ </w:t>
      </w:r>
      <w:proofErr w:type="spellStart"/>
      <w:r w:rsidRPr="00EB2DC8">
        <w:rPr>
          <w:rFonts w:ascii="Times New Roman" w:hAnsi="Times New Roman" w:cs="Times New Roman"/>
          <w:sz w:val="22"/>
          <w:szCs w:val="22"/>
        </w:rPr>
        <w:t>no</w:t>
      </w:r>
      <w:proofErr w:type="spellEnd"/>
      <w:r w:rsidRPr="00EB2DC8">
        <w:rPr>
          <w:rFonts w:ascii="Times New Roman" w:hAnsi="Times New Roman" w:cs="Times New Roman"/>
          <w:sz w:val="22"/>
          <w:szCs w:val="22"/>
        </w:rPr>
        <w:t xml:space="preserve">, iletişim bilgileri gibi tanıtıcı bilgileri alıcının erişebileceği şekilde güncel tutmak ve sözleşme aşamasında alıcıya açık bilgi vermek zorundadır. Ayrıca </w:t>
      </w:r>
      <w:proofErr w:type="spellStart"/>
      <w:r w:rsidRPr="00EB2DC8">
        <w:rPr>
          <w:rFonts w:ascii="Times New Roman" w:hAnsi="Times New Roman" w:cs="Times New Roman"/>
          <w:sz w:val="22"/>
          <w:szCs w:val="22"/>
        </w:rPr>
        <w:t>ETK’nın</w:t>
      </w:r>
      <w:proofErr w:type="spellEnd"/>
      <w:r w:rsidRPr="00EB2DC8">
        <w:rPr>
          <w:rFonts w:ascii="Times New Roman" w:hAnsi="Times New Roman" w:cs="Times New Roman"/>
          <w:sz w:val="22"/>
          <w:szCs w:val="22"/>
        </w:rPr>
        <w:t xml:space="preserve"> 4. maddesi, sipariş onaylanmadan önce toplam bedel dahil sözleşme şartlarının alıcıya görülebilir olmasını emreder.</w:t>
      </w:r>
    </w:p>
    <w:p w14:paraId="37C63026" w14:textId="77777777" w:rsidR="008B4AF7" w:rsidRPr="00EB2DC8" w:rsidRDefault="008B4AF7" w:rsidP="008B4AF7">
      <w:pPr>
        <w:jc w:val="both"/>
        <w:rPr>
          <w:rFonts w:ascii="Times New Roman" w:hAnsi="Times New Roman" w:cs="Times New Roman"/>
          <w:sz w:val="22"/>
          <w:szCs w:val="22"/>
        </w:rPr>
      </w:pPr>
      <w:r w:rsidRPr="00EB2DC8">
        <w:rPr>
          <w:rFonts w:ascii="Times New Roman" w:hAnsi="Times New Roman" w:cs="Times New Roman"/>
          <w:sz w:val="22"/>
          <w:szCs w:val="22"/>
        </w:rPr>
        <w:t>Buna ek olarak 6502 sayılı Tüketicinin Korunması Hakkında Kanun</w:t>
      </w:r>
      <w:r w:rsidRPr="00EB2DC8">
        <w:rPr>
          <w:rFonts w:ascii="Times New Roman" w:hAnsi="Times New Roman" w:cs="Times New Roman"/>
          <w:b/>
          <w:bCs/>
          <w:sz w:val="22"/>
          <w:szCs w:val="22"/>
        </w:rPr>
        <w:t xml:space="preserve"> (“TKHK”)</w:t>
      </w:r>
      <w:r w:rsidRPr="00EB2DC8">
        <w:rPr>
          <w:rFonts w:ascii="Times New Roman" w:hAnsi="Times New Roman" w:cs="Times New Roman"/>
          <w:sz w:val="22"/>
          <w:szCs w:val="22"/>
        </w:rPr>
        <w:t xml:space="preserve"> da uzaktan (mesafeli) sözleşmelerde tüketicinin bilgilendirilmesine büyük önem verir. Tüketici Kanunu’nun 48. maddesi, tüketici siparişi onaylamadan önce sözleşme detayları ve ödemenin zorunluluğu hakkında açık ve anlaşılır biçimde bilgilendirilmesini şart koşar. Nitekim bu hüküm, ödeme yükümlülüğü doğacak tüm koşulları tüketiciye göstermeyi zorunlu kılar. </w:t>
      </w:r>
    </w:p>
    <w:p w14:paraId="4931E7DD" w14:textId="77777777" w:rsidR="008B4AF7" w:rsidRPr="00EB2DC8" w:rsidRDefault="008B4AF7" w:rsidP="008B4AF7">
      <w:pPr>
        <w:jc w:val="both"/>
        <w:rPr>
          <w:rFonts w:ascii="Times New Roman" w:hAnsi="Times New Roman" w:cs="Times New Roman"/>
          <w:sz w:val="22"/>
          <w:szCs w:val="22"/>
        </w:rPr>
      </w:pPr>
      <w:r w:rsidRPr="00EB2DC8">
        <w:rPr>
          <w:rFonts w:ascii="Times New Roman" w:hAnsi="Times New Roman" w:cs="Times New Roman"/>
          <w:sz w:val="22"/>
          <w:szCs w:val="22"/>
        </w:rPr>
        <w:t>Son olarak, Elektronik Ticaret Aracı ve Hizmet Sağlayıcılar Yönetmeliği (“</w:t>
      </w:r>
      <w:r w:rsidRPr="00EB2DC8">
        <w:rPr>
          <w:rFonts w:ascii="Times New Roman" w:hAnsi="Times New Roman" w:cs="Times New Roman"/>
          <w:b/>
          <w:bCs/>
          <w:sz w:val="22"/>
          <w:szCs w:val="22"/>
        </w:rPr>
        <w:t>ETAHS Yönetmeliği</w:t>
      </w:r>
      <w:r w:rsidRPr="00EB2DC8">
        <w:rPr>
          <w:rFonts w:ascii="Times New Roman" w:hAnsi="Times New Roman" w:cs="Times New Roman"/>
          <w:sz w:val="22"/>
          <w:szCs w:val="22"/>
        </w:rPr>
        <w:t xml:space="preserve">”), kanunların uygulanmasını </w:t>
      </w:r>
      <w:proofErr w:type="spellStart"/>
      <w:r w:rsidRPr="00EB2DC8">
        <w:rPr>
          <w:rFonts w:ascii="Times New Roman" w:hAnsi="Times New Roman" w:cs="Times New Roman"/>
          <w:sz w:val="22"/>
          <w:szCs w:val="22"/>
        </w:rPr>
        <w:t>ayrıntılandırır</w:t>
      </w:r>
      <w:proofErr w:type="spellEnd"/>
      <w:r w:rsidRPr="00EB2DC8">
        <w:rPr>
          <w:rFonts w:ascii="Times New Roman" w:hAnsi="Times New Roman" w:cs="Times New Roman"/>
          <w:sz w:val="22"/>
          <w:szCs w:val="22"/>
        </w:rPr>
        <w:t xml:space="preserve"> ve özellikle şeffaflık ile erişilebilirlik ilkelerini ön plana çıkarır. Yönetmelik, ETAHS ve </w:t>
      </w:r>
      <w:proofErr w:type="spellStart"/>
      <w:r w:rsidRPr="00EB2DC8">
        <w:rPr>
          <w:rFonts w:ascii="Times New Roman" w:hAnsi="Times New Roman" w:cs="Times New Roman"/>
          <w:sz w:val="22"/>
          <w:szCs w:val="22"/>
        </w:rPr>
        <w:t>ETHS’nin</w:t>
      </w:r>
      <w:proofErr w:type="spellEnd"/>
      <w:r w:rsidRPr="00EB2DC8">
        <w:rPr>
          <w:rFonts w:ascii="Times New Roman" w:hAnsi="Times New Roman" w:cs="Times New Roman"/>
          <w:sz w:val="22"/>
          <w:szCs w:val="22"/>
        </w:rPr>
        <w:t xml:space="preserve"> bilgi verme, doğrulama ve sözleşme düzenleme yükümlülüklerini detaylı şekilde düzenlemektedir. Buna göre, platformlar (ETAHS) ve satıcılar (ETHS) arasında imzalanan aracılık sözleşmesinde sağlanacak hizmetlerin kapsamı, sözleşmenin şartları, ödeme ve gizlilik bilgileri açıkça gösterilmelidir. Özetle, </w:t>
      </w:r>
      <w:proofErr w:type="spellStart"/>
      <w:r w:rsidRPr="00EB2DC8">
        <w:rPr>
          <w:rFonts w:ascii="Times New Roman" w:hAnsi="Times New Roman" w:cs="Times New Roman"/>
          <w:sz w:val="22"/>
          <w:szCs w:val="22"/>
        </w:rPr>
        <w:t>ETK’nın</w:t>
      </w:r>
      <w:proofErr w:type="spellEnd"/>
      <w:r w:rsidRPr="00EB2DC8">
        <w:rPr>
          <w:rFonts w:ascii="Times New Roman" w:hAnsi="Times New Roman" w:cs="Times New Roman"/>
          <w:sz w:val="22"/>
          <w:szCs w:val="22"/>
        </w:rPr>
        <w:t xml:space="preserve"> ilgili maddeleri ile TKHK ve ETAHS Yönetmeliği, elektronik ticarette tarafların tüketiciyi yasal hakları ve şartlar hakkında güncel ve anlaşılır biçimde bilgilendirmesini öngörür.</w:t>
      </w:r>
    </w:p>
    <w:p w14:paraId="1A98DCC2" w14:textId="77777777" w:rsidR="008B4AF7" w:rsidRPr="00EB2DC8" w:rsidRDefault="008B4AF7" w:rsidP="008B4AF7">
      <w:pPr>
        <w:jc w:val="both"/>
        <w:rPr>
          <w:rFonts w:ascii="Times New Roman" w:hAnsi="Times New Roman" w:cs="Times New Roman"/>
          <w:b/>
          <w:bCs/>
          <w:sz w:val="22"/>
          <w:szCs w:val="22"/>
        </w:rPr>
      </w:pPr>
      <w:r w:rsidRPr="00EB2DC8">
        <w:rPr>
          <w:rFonts w:ascii="Times New Roman" w:hAnsi="Times New Roman" w:cs="Times New Roman"/>
          <w:b/>
          <w:bCs/>
          <w:sz w:val="22"/>
          <w:szCs w:val="22"/>
        </w:rPr>
        <w:t>Platformların Algoritmik Sıralama Hakkında Bilgilendirme Yükümlülüğü</w:t>
      </w:r>
    </w:p>
    <w:p w14:paraId="7559BF49" w14:textId="77777777" w:rsidR="008B4AF7" w:rsidRPr="00EB2DC8" w:rsidRDefault="008B4AF7" w:rsidP="008B4AF7">
      <w:pPr>
        <w:jc w:val="both"/>
        <w:rPr>
          <w:rFonts w:ascii="Times New Roman" w:hAnsi="Times New Roman" w:cs="Times New Roman"/>
          <w:sz w:val="22"/>
          <w:szCs w:val="22"/>
        </w:rPr>
      </w:pPr>
      <w:r w:rsidRPr="00EB2DC8">
        <w:rPr>
          <w:rFonts w:ascii="Times New Roman" w:hAnsi="Times New Roman" w:cs="Times New Roman"/>
          <w:sz w:val="22"/>
          <w:szCs w:val="22"/>
        </w:rPr>
        <w:lastRenderedPageBreak/>
        <w:t xml:space="preserve">Mevzuatta, pazaryerleri veya arama motorları gibi platformların, tüketicilere kendi algoritmik sıralama yöntemlerini tek tek açıklama yükümlülüğü açıkça öngörülmemiştir. Etkili bir bilgilendirme yükümlülüğü daha çok, bir sözleşme tarafı olan satıcı (ETHS) ile platform (ETAHS) arasında kurulmuş aracılık sözleşmesi kapsamında tanımlanmıştır. Şu </w:t>
      </w:r>
      <w:proofErr w:type="gramStart"/>
      <w:r w:rsidRPr="00EB2DC8">
        <w:rPr>
          <w:rFonts w:ascii="Times New Roman" w:hAnsi="Times New Roman" w:cs="Times New Roman"/>
          <w:sz w:val="22"/>
          <w:szCs w:val="22"/>
        </w:rPr>
        <w:t>halde</w:t>
      </w:r>
      <w:proofErr w:type="gramEnd"/>
      <w:r w:rsidRPr="00EB2DC8">
        <w:rPr>
          <w:rFonts w:ascii="Times New Roman" w:hAnsi="Times New Roman" w:cs="Times New Roman"/>
          <w:sz w:val="22"/>
          <w:szCs w:val="22"/>
        </w:rPr>
        <w:t xml:space="preserve"> platformlar doğrudan tüketiciye algoritmanın iç işleyişini açıklama yükümlülüğü taşımamakla birlikte; ticari uygulamalarda dürüstlük ve şeffaflık ilkeleri gereğince, sıralama sonucu sunulurken manipülatif reklamlardan ve yanıltıcı uygulamalardan kaçınması beklenir. Örneğin kanun, satıcının tüketici siparişi onaylamadan önce tüm mali koşulları (fiyat, vergi, kargo vb.) açıkça görmesini şart koşar. Benzer biçimde platformlar </w:t>
      </w:r>
      <w:proofErr w:type="gramStart"/>
      <w:r w:rsidRPr="00EB2DC8">
        <w:rPr>
          <w:rFonts w:ascii="Times New Roman" w:hAnsi="Times New Roman" w:cs="Times New Roman"/>
          <w:sz w:val="22"/>
          <w:szCs w:val="22"/>
        </w:rPr>
        <w:t>da,</w:t>
      </w:r>
      <w:proofErr w:type="gramEnd"/>
      <w:r w:rsidRPr="00EB2DC8">
        <w:rPr>
          <w:rFonts w:ascii="Times New Roman" w:hAnsi="Times New Roman" w:cs="Times New Roman"/>
          <w:sz w:val="22"/>
          <w:szCs w:val="22"/>
        </w:rPr>
        <w:t xml:space="preserve"> kullanıcı arayüzlerinde ürün listeleme ve reklam işaretlemelerini yasal çerçevede sunmalı; yanıltıcı olmayan, anlaşılır bir şekilde fiyat ve kampanya bilgisi vermelidir. Ancak algoritmik sıralama kriterlerini veya parametrelerini doğrudan son kullanıcıya açıklama yükümlülüğü mevcut değildir. Zira güncel düzenlemelerde bu konunun ele alınması, öncelikli olarak satıcı-platform ilişkisine dair hukuki kurallarla sınırlanmıştır.</w:t>
      </w:r>
    </w:p>
    <w:p w14:paraId="0F0C584C" w14:textId="77777777" w:rsidR="008B4AF7" w:rsidRPr="00EB2DC8" w:rsidRDefault="008B4AF7" w:rsidP="008B4AF7">
      <w:pPr>
        <w:jc w:val="both"/>
        <w:rPr>
          <w:rFonts w:ascii="Times New Roman" w:hAnsi="Times New Roman" w:cs="Times New Roman"/>
          <w:sz w:val="22"/>
          <w:szCs w:val="22"/>
        </w:rPr>
      </w:pPr>
    </w:p>
    <w:p w14:paraId="67A409FD" w14:textId="77777777" w:rsidR="008B4AF7" w:rsidRPr="00EB2DC8" w:rsidRDefault="008B4AF7" w:rsidP="008B4AF7">
      <w:pPr>
        <w:jc w:val="both"/>
        <w:rPr>
          <w:rFonts w:ascii="Times New Roman" w:hAnsi="Times New Roman" w:cs="Times New Roman"/>
          <w:sz w:val="22"/>
          <w:szCs w:val="22"/>
        </w:rPr>
      </w:pPr>
    </w:p>
    <w:p w14:paraId="1B201976" w14:textId="77777777" w:rsidR="008B4AF7" w:rsidRPr="00EB2DC8" w:rsidRDefault="008B4AF7" w:rsidP="008B4AF7">
      <w:pPr>
        <w:jc w:val="both"/>
        <w:rPr>
          <w:rFonts w:ascii="Times New Roman" w:hAnsi="Times New Roman" w:cs="Times New Roman"/>
          <w:sz w:val="22"/>
          <w:szCs w:val="22"/>
        </w:rPr>
      </w:pPr>
    </w:p>
    <w:p w14:paraId="397D8295" w14:textId="77777777" w:rsidR="008B4AF7" w:rsidRPr="00EB2DC8" w:rsidRDefault="008B4AF7" w:rsidP="008B4AF7">
      <w:pPr>
        <w:jc w:val="both"/>
        <w:rPr>
          <w:rFonts w:ascii="Times New Roman" w:hAnsi="Times New Roman" w:cs="Times New Roman"/>
          <w:b/>
          <w:bCs/>
          <w:sz w:val="22"/>
          <w:szCs w:val="22"/>
        </w:rPr>
      </w:pPr>
      <w:r w:rsidRPr="00EB2DC8">
        <w:rPr>
          <w:rFonts w:ascii="Times New Roman" w:hAnsi="Times New Roman" w:cs="Times New Roman"/>
          <w:b/>
          <w:bCs/>
          <w:sz w:val="22"/>
          <w:szCs w:val="22"/>
        </w:rPr>
        <w:t>Aracı Hizmet Sağlayıcıların Sıralama Ölçütleri ve İçerik Görünürlüğü Sorumluluğu</w:t>
      </w:r>
    </w:p>
    <w:p w14:paraId="1F07693E" w14:textId="77777777" w:rsidR="008B4AF7" w:rsidRPr="00EB2DC8" w:rsidRDefault="008B4AF7" w:rsidP="008B4AF7">
      <w:pPr>
        <w:jc w:val="both"/>
        <w:rPr>
          <w:rFonts w:ascii="Times New Roman" w:hAnsi="Times New Roman" w:cs="Times New Roman"/>
          <w:sz w:val="22"/>
          <w:szCs w:val="22"/>
        </w:rPr>
      </w:pPr>
      <w:r w:rsidRPr="00EB2DC8">
        <w:rPr>
          <w:rFonts w:ascii="Times New Roman" w:hAnsi="Times New Roman" w:cs="Times New Roman"/>
          <w:sz w:val="22"/>
          <w:szCs w:val="22"/>
        </w:rPr>
        <w:t>ETAHS Yönetmeliği, platformlar (ETAHS) ile satıcılar (ETHS) arasındaki sözleşmenin asgari unsurlarını ayrıntılı biçimde belirlemiştir. Yönetmelik’in 15. maddesi uyarınca, aracılık sözleşmesi en az aşağıdaki konuları içermelidir.</w:t>
      </w:r>
    </w:p>
    <w:p w14:paraId="7A5D4490" w14:textId="77777777" w:rsidR="008B4AF7" w:rsidRPr="00EB2DC8" w:rsidRDefault="008B4AF7" w:rsidP="008B4AF7">
      <w:pPr>
        <w:pStyle w:val="ListeParagraf"/>
        <w:numPr>
          <w:ilvl w:val="0"/>
          <w:numId w:val="24"/>
        </w:numPr>
        <w:jc w:val="both"/>
        <w:rPr>
          <w:rFonts w:ascii="Times New Roman" w:hAnsi="Times New Roman" w:cs="Times New Roman"/>
          <w:sz w:val="22"/>
          <w:szCs w:val="22"/>
        </w:rPr>
      </w:pPr>
      <w:r w:rsidRPr="00EB2DC8">
        <w:rPr>
          <w:rFonts w:ascii="Times New Roman" w:hAnsi="Times New Roman" w:cs="Times New Roman"/>
          <w:b/>
          <w:bCs/>
          <w:sz w:val="22"/>
          <w:szCs w:val="22"/>
        </w:rPr>
        <w:t>Sıralama Kriterleri:</w:t>
      </w:r>
      <w:r w:rsidRPr="00EB2DC8">
        <w:rPr>
          <w:rFonts w:ascii="Times New Roman" w:hAnsi="Times New Roman" w:cs="Times New Roman"/>
          <w:sz w:val="22"/>
          <w:szCs w:val="22"/>
        </w:rPr>
        <w:t xml:space="preserve"> Platformda mal veya hizmetlerin sıralanmasında veya önerilmesinde hangi parametrelerin kullanıldığı ve birden çok parametre varsa bunlar arasındaki öncelik sırası belirtilir. Örneğin satış hacmi, fiyat veya kullanıcı puanları gibi kriterler sayılabilir.</w:t>
      </w:r>
    </w:p>
    <w:p w14:paraId="671C4EBB" w14:textId="77777777" w:rsidR="008B4AF7" w:rsidRPr="00EB2DC8" w:rsidRDefault="008B4AF7" w:rsidP="008B4AF7">
      <w:pPr>
        <w:pStyle w:val="ListeParagraf"/>
        <w:jc w:val="both"/>
        <w:rPr>
          <w:rFonts w:ascii="Times New Roman" w:hAnsi="Times New Roman" w:cs="Times New Roman"/>
          <w:sz w:val="22"/>
          <w:szCs w:val="22"/>
        </w:rPr>
      </w:pPr>
    </w:p>
    <w:p w14:paraId="4405570A" w14:textId="77777777" w:rsidR="008B4AF7" w:rsidRPr="00EB2DC8" w:rsidRDefault="008B4AF7" w:rsidP="008B4AF7">
      <w:pPr>
        <w:pStyle w:val="ListeParagraf"/>
        <w:numPr>
          <w:ilvl w:val="0"/>
          <w:numId w:val="24"/>
        </w:numPr>
        <w:jc w:val="both"/>
        <w:rPr>
          <w:rFonts w:ascii="Times New Roman" w:hAnsi="Times New Roman" w:cs="Times New Roman"/>
          <w:sz w:val="22"/>
          <w:szCs w:val="22"/>
        </w:rPr>
      </w:pPr>
      <w:r w:rsidRPr="00EB2DC8">
        <w:rPr>
          <w:rFonts w:ascii="Times New Roman" w:hAnsi="Times New Roman" w:cs="Times New Roman"/>
          <w:b/>
          <w:bCs/>
          <w:sz w:val="22"/>
          <w:szCs w:val="22"/>
        </w:rPr>
        <w:t>Ödeme-Performans İlişkisi:</w:t>
      </w:r>
      <w:r w:rsidRPr="00EB2DC8">
        <w:rPr>
          <w:rFonts w:ascii="Times New Roman" w:hAnsi="Times New Roman" w:cs="Times New Roman"/>
          <w:sz w:val="22"/>
          <w:szCs w:val="22"/>
        </w:rPr>
        <w:t xml:space="preserve"> Sıralamayı etkilemek amacıyla satıcı tarafından platforma doğrudan veya dolaylı ödeme (örneğin reklam veya premium listeleme ücreti) yapılması durumunda, bunun sıralama üzerindeki etkisi açıkça belirtilir.</w:t>
      </w:r>
    </w:p>
    <w:p w14:paraId="1BE9052F" w14:textId="77777777" w:rsidR="008B4AF7" w:rsidRPr="00EB2DC8" w:rsidRDefault="008B4AF7" w:rsidP="008B4AF7">
      <w:pPr>
        <w:pStyle w:val="ListeParagraf"/>
        <w:rPr>
          <w:rFonts w:ascii="Times New Roman" w:hAnsi="Times New Roman" w:cs="Times New Roman"/>
          <w:b/>
          <w:bCs/>
          <w:sz w:val="22"/>
          <w:szCs w:val="22"/>
        </w:rPr>
      </w:pPr>
    </w:p>
    <w:p w14:paraId="55789ACA" w14:textId="77777777" w:rsidR="008B4AF7" w:rsidRPr="00EB2DC8" w:rsidRDefault="008B4AF7" w:rsidP="008B4AF7">
      <w:pPr>
        <w:pStyle w:val="ListeParagraf"/>
        <w:numPr>
          <w:ilvl w:val="0"/>
          <w:numId w:val="24"/>
        </w:numPr>
        <w:jc w:val="both"/>
        <w:rPr>
          <w:rFonts w:ascii="Times New Roman" w:hAnsi="Times New Roman" w:cs="Times New Roman"/>
          <w:sz w:val="22"/>
          <w:szCs w:val="22"/>
        </w:rPr>
      </w:pPr>
      <w:r w:rsidRPr="00EB2DC8">
        <w:rPr>
          <w:rFonts w:ascii="Times New Roman" w:hAnsi="Times New Roman" w:cs="Times New Roman"/>
          <w:b/>
          <w:bCs/>
          <w:sz w:val="22"/>
          <w:szCs w:val="22"/>
        </w:rPr>
        <w:t>Hizmet Koşulları:</w:t>
      </w:r>
      <w:r w:rsidRPr="00EB2DC8">
        <w:rPr>
          <w:rFonts w:ascii="Times New Roman" w:hAnsi="Times New Roman" w:cs="Times New Roman"/>
          <w:sz w:val="22"/>
          <w:szCs w:val="22"/>
        </w:rPr>
        <w:t xml:space="preserve"> Satıcıdan alınacak hizmet bedelleri, aracılık hizmetinin kısıtlanma/sonlandırma koşulları, içerik erişimi ve dahili iletişim sistemine ilişkin hükümler gibi hususlar detaylandırılır.</w:t>
      </w:r>
    </w:p>
    <w:p w14:paraId="0ED71280" w14:textId="77777777" w:rsidR="008B4AF7" w:rsidRPr="00EB2DC8" w:rsidRDefault="008B4AF7" w:rsidP="008B4AF7">
      <w:pPr>
        <w:jc w:val="both"/>
        <w:rPr>
          <w:rFonts w:ascii="Times New Roman" w:hAnsi="Times New Roman" w:cs="Times New Roman"/>
          <w:sz w:val="22"/>
          <w:szCs w:val="22"/>
        </w:rPr>
      </w:pPr>
      <w:r w:rsidRPr="00EB2DC8">
        <w:rPr>
          <w:rFonts w:ascii="Times New Roman" w:hAnsi="Times New Roman" w:cs="Times New Roman"/>
          <w:sz w:val="22"/>
          <w:szCs w:val="22"/>
        </w:rPr>
        <w:t>Bu yükümlülükler, platformun kullandığı algoritmik mekanizmaların en azından satıcı açısından şeffaf olmasını amaçlar. Platform, yukarıda belirtilen bilgileri aracı hizmet sözleşmesinde açıkça düzenleyerek satıcıyı bilgilendirmek zorundadır. Ayrıca Yönetmelik, arama sonuçlarının manipülasyonuna yönelik bir önlem de içerir: Arama algoritması aracılığıyla alıcıyı yanıltacak, haksız avantaj sağlayacak biçimde sonuçları değiştiren herhangi bir algoritmanın sözleşmeye dâhil edilmesi yasaktır. Özetle, aracı hizmet sağlayıcı (pazar yeri işletmecisi), sıralama kriterleri ve içerik görünürlüğüyle ilgili tüm nesnel ölçütleri şeffaf şekilde tanımlayıp sözleşmede beyan etmekle yükümlüdür.</w:t>
      </w:r>
    </w:p>
    <w:p w14:paraId="6BED672E" w14:textId="77777777" w:rsidR="008B4AF7" w:rsidRPr="00EB2DC8" w:rsidRDefault="008B4AF7" w:rsidP="008B4AF7">
      <w:pPr>
        <w:jc w:val="both"/>
        <w:rPr>
          <w:rFonts w:ascii="Times New Roman" w:hAnsi="Times New Roman" w:cs="Times New Roman"/>
          <w:b/>
          <w:bCs/>
          <w:sz w:val="22"/>
          <w:szCs w:val="22"/>
        </w:rPr>
      </w:pPr>
      <w:r w:rsidRPr="00EB2DC8">
        <w:rPr>
          <w:rFonts w:ascii="Times New Roman" w:hAnsi="Times New Roman" w:cs="Times New Roman"/>
          <w:b/>
          <w:bCs/>
          <w:sz w:val="22"/>
          <w:szCs w:val="22"/>
        </w:rPr>
        <w:t>Sıralama Sistemlerinin Manipülasyonu ve Hukuka Aykırılık</w:t>
      </w:r>
    </w:p>
    <w:p w14:paraId="0D9C2FC6" w14:textId="77777777" w:rsidR="008B4AF7" w:rsidRPr="00EB2DC8" w:rsidRDefault="008B4AF7" w:rsidP="008B4AF7">
      <w:pPr>
        <w:jc w:val="both"/>
        <w:rPr>
          <w:rFonts w:ascii="Times New Roman" w:hAnsi="Times New Roman" w:cs="Times New Roman"/>
          <w:sz w:val="22"/>
          <w:szCs w:val="22"/>
        </w:rPr>
      </w:pPr>
      <w:r w:rsidRPr="00EB2DC8">
        <w:rPr>
          <w:rFonts w:ascii="Times New Roman" w:hAnsi="Times New Roman" w:cs="Times New Roman"/>
          <w:sz w:val="22"/>
          <w:szCs w:val="22"/>
        </w:rPr>
        <w:t xml:space="preserve">Platformların sıralama algoritmalarını kötüye kullanması, tüketiciyi yanıltıcı bir uygulama olarak değerlendirilebilir. ETAHS Yönetmeliği, “arama sonuçlarının manipüle edilmesi yoluyla alıcının aldatılmasına veya zararına neden olacak” algoritmaların kullanımını açıkça reddetmiştir. Bir başka ifadeyle, platformlar kar-zarar analizi gözeterek arama sonuçlarını hileli şekilde çarpıtamaz; bu tür </w:t>
      </w:r>
      <w:r w:rsidRPr="00EB2DC8">
        <w:rPr>
          <w:rFonts w:ascii="Times New Roman" w:hAnsi="Times New Roman" w:cs="Times New Roman"/>
          <w:sz w:val="22"/>
          <w:szCs w:val="22"/>
        </w:rPr>
        <w:lastRenderedPageBreak/>
        <w:t xml:space="preserve">manipülasyon sözleşmeye dâhil edilemez. Türkiye’de Reklam Kurulu kararlarında da benzer yaklaşım görülür: Örneğin yürütülen bir incelemede, bir e-ticaret sitesinde indirimli fiyat göstermesine rağmen farklı bir fiyat sunulmasının tüketiciyi “ekonomik kararlarında manipüle ettiği” değerlendirilmiştir. Reklam Kurulu bu durumu, indirim oranı ve ürün fiyatı hakkında gerçeği yansıtmadığı, dolayısıyla söz konusu reklamların tüketiciyi yanıltıcı ve aldatıcı nitelikte olduğu kanaatine sayarak </w:t>
      </w:r>
      <w:proofErr w:type="spellStart"/>
      <w:r w:rsidRPr="00EB2DC8">
        <w:rPr>
          <w:rFonts w:ascii="Times New Roman" w:hAnsi="Times New Roman" w:cs="Times New Roman"/>
          <w:sz w:val="22"/>
          <w:szCs w:val="22"/>
        </w:rPr>
        <w:t>TKHK’ya</w:t>
      </w:r>
      <w:proofErr w:type="spellEnd"/>
      <w:r w:rsidRPr="00EB2DC8">
        <w:rPr>
          <w:rFonts w:ascii="Times New Roman" w:hAnsi="Times New Roman" w:cs="Times New Roman"/>
          <w:sz w:val="22"/>
          <w:szCs w:val="22"/>
        </w:rPr>
        <w:t xml:space="preserve"> aykırı bulmuştur. Dolayısıyla algoritmik sıralamayı kullanarak görünmez reklam veya ücretli terimlerle haksız avantaj sağlamak, yanıltıcı ticari uygulama kapsamında incelenebilir ve hukuka aykırıdır. Bu tür uygulamalar, tüketicinin güvenini ihlal edecek biçimde ekonomik tercihlerini saptırdığından, TKHK çerçevesinde yasaklanmış haksız ticari uygulamalar arasında değerlendirilecektir.</w:t>
      </w:r>
    </w:p>
    <w:p w14:paraId="3BE16D50" w14:textId="77777777" w:rsidR="008B4AF7" w:rsidRPr="00EB2DC8" w:rsidRDefault="008B4AF7" w:rsidP="008B4AF7">
      <w:pPr>
        <w:jc w:val="both"/>
        <w:rPr>
          <w:rFonts w:ascii="Times New Roman" w:hAnsi="Times New Roman" w:cs="Times New Roman"/>
          <w:b/>
          <w:bCs/>
          <w:sz w:val="22"/>
          <w:szCs w:val="22"/>
        </w:rPr>
      </w:pPr>
      <w:r w:rsidRPr="00EB2DC8">
        <w:rPr>
          <w:rFonts w:ascii="Times New Roman" w:hAnsi="Times New Roman" w:cs="Times New Roman"/>
          <w:b/>
          <w:bCs/>
          <w:sz w:val="22"/>
          <w:szCs w:val="22"/>
        </w:rPr>
        <w:t xml:space="preserve">Sonuç </w:t>
      </w:r>
    </w:p>
    <w:p w14:paraId="522B5A3F" w14:textId="77777777" w:rsidR="008B4AF7" w:rsidRPr="00EB2DC8" w:rsidRDefault="008B4AF7" w:rsidP="008B4AF7">
      <w:pPr>
        <w:jc w:val="both"/>
        <w:rPr>
          <w:rFonts w:ascii="Times New Roman" w:hAnsi="Times New Roman" w:cs="Times New Roman"/>
          <w:sz w:val="22"/>
          <w:szCs w:val="22"/>
        </w:rPr>
      </w:pPr>
      <w:r w:rsidRPr="00EB2DC8">
        <w:rPr>
          <w:rFonts w:ascii="Times New Roman" w:hAnsi="Times New Roman" w:cs="Times New Roman"/>
          <w:sz w:val="22"/>
          <w:szCs w:val="22"/>
        </w:rPr>
        <w:t>Elektronik ticaretin hızla yaygınlaşmasıyla birlikte, platformlar üzerindeki algoritmik sıralama sistemlerinin tüketici davranışlarını yönlendirme etkisi artmış; bu durum şeffaflık yükümlülüğünü e-ticaret hukukunun merkezine taşımıştır. Türkiye'de ETK, TKHK ve ETAHS Yönetmeliği çerçevesinde, aracı hizmet sağlayıcıların sıralama kriterleri ve içerik görünürlüğüne ilişkin bilgilendirme yükümlülükleri açıkça düzenlenmiştir. Platformların, sıralama algoritmalarının objektifliğini bozacak manipülatif uygulamalardan kaçınmaları; ticari şeffaflığı ve tüketici güvenini temin etmeleri beklenmektedir. Bu çerçevede şeffaflık, sadece sözleşme öncesi bilgilendirmeyle sınırlı kalmayıp, içerik sunum biçimlerine ve kullanıcıya gösterilen bilginin niteliğine kadar genişletilmiştir.</w:t>
      </w:r>
    </w:p>
    <w:p w14:paraId="13F7A0B4" w14:textId="77777777" w:rsidR="00A139E7" w:rsidRPr="00EB2DC8" w:rsidRDefault="00A139E7" w:rsidP="00A139E7">
      <w:pPr>
        <w:tabs>
          <w:tab w:val="num" w:pos="567"/>
        </w:tabs>
        <w:spacing w:after="0" w:line="276" w:lineRule="auto"/>
        <w:jc w:val="both"/>
        <w:rPr>
          <w:rFonts w:ascii="Times New Roman" w:hAnsi="Times New Roman" w:cs="Times New Roman"/>
          <w:b/>
          <w:bCs/>
          <w:sz w:val="22"/>
          <w:szCs w:val="22"/>
        </w:rPr>
      </w:pPr>
    </w:p>
    <w:p w14:paraId="4B1BF7D0" w14:textId="77777777" w:rsidR="008B4AF7" w:rsidRPr="00EB2DC8" w:rsidRDefault="008B4AF7" w:rsidP="00A139E7">
      <w:pPr>
        <w:tabs>
          <w:tab w:val="num" w:pos="567"/>
        </w:tabs>
        <w:spacing w:after="0" w:line="276" w:lineRule="auto"/>
        <w:jc w:val="both"/>
        <w:rPr>
          <w:rFonts w:ascii="Times New Roman" w:hAnsi="Times New Roman" w:cs="Times New Roman"/>
          <w:b/>
          <w:bCs/>
          <w:sz w:val="22"/>
          <w:szCs w:val="22"/>
        </w:rPr>
      </w:pPr>
    </w:p>
    <w:p w14:paraId="7976D89C" w14:textId="4831AE15" w:rsidR="00E12008" w:rsidRPr="00EB2DC8" w:rsidRDefault="002528F0" w:rsidP="002528F0">
      <w:pPr>
        <w:pStyle w:val="ListeParagraf"/>
        <w:numPr>
          <w:ilvl w:val="0"/>
          <w:numId w:val="1"/>
        </w:numPr>
        <w:rPr>
          <w:rFonts w:ascii="Times New Roman" w:hAnsi="Times New Roman" w:cs="Times New Roman"/>
          <w:b/>
          <w:bCs/>
          <w:sz w:val="22"/>
          <w:szCs w:val="22"/>
        </w:rPr>
      </w:pPr>
      <w:r w:rsidRPr="00EB2DC8">
        <w:rPr>
          <w:rFonts w:ascii="Times New Roman" w:hAnsi="Times New Roman" w:cs="Times New Roman"/>
          <w:b/>
          <w:bCs/>
          <w:sz w:val="22"/>
          <w:szCs w:val="22"/>
        </w:rPr>
        <w:t>DİJİTAL ÇAĞDA İMZANIN ANLAMI DEĞİŞTİ Mİ?</w:t>
      </w:r>
    </w:p>
    <w:p w14:paraId="51720B39" w14:textId="77777777" w:rsidR="002528F0" w:rsidRPr="00EB2DC8" w:rsidRDefault="002528F0" w:rsidP="002528F0">
      <w:pPr>
        <w:rPr>
          <w:rFonts w:ascii="Times New Roman" w:hAnsi="Times New Roman" w:cs="Times New Roman"/>
          <w:b/>
          <w:bCs/>
          <w:sz w:val="22"/>
          <w:szCs w:val="22"/>
        </w:rPr>
      </w:pPr>
    </w:p>
    <w:p w14:paraId="2D361EAF" w14:textId="77777777" w:rsidR="00E37618" w:rsidRPr="00EB2DC8" w:rsidRDefault="00E37618" w:rsidP="00E3761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xml:space="preserve">Dijital dönüşüm, hayatımızın her alanını etkilerken, imza kavramı da bu değişimden nasibini almıştır. Geleneksel olarak ıslak imza (elde atılan imza), bir belgenin onaylandığını ve kişinin o belgeyi benimsediğini gösteren hukuki bir işaretti. Peki, dijital çağda imzanın anlamı ve işlevi değişti mi? Günümüzde elektronik imza (e-imza) adıyla anılan dijital imzalar, ıslak imzaların dijital dünyadaki karşılığı haline gelmiştir. Elektronik imza, dijital ortamda kimlik doğrulaması sağlayan ve imzalanan belgeye hukuki geçerlilik kazandıran bir yöntemdir. Türkiye’de e-imza kavramı 5070 sayılı Elektronik İmza Kanunu ile 2004 yılında mevzuata girmiş ve Türk hukukunda e-imza, el yazısıyla atılan imza ile aynı hukuki sonucu doğuran bir işlem olarak tanımlanmıştır. Bu sayede dijital belgeler, doğru şartlar altında imzalandıklarında en az </w:t>
      </w:r>
      <w:proofErr w:type="gramStart"/>
      <w:r w:rsidRPr="00EB2DC8">
        <w:rPr>
          <w:rFonts w:ascii="Times New Roman" w:eastAsia="Times New Roman" w:hAnsi="Times New Roman" w:cs="Times New Roman"/>
          <w:kern w:val="0"/>
          <w:sz w:val="22"/>
          <w:szCs w:val="22"/>
          <w:lang w:eastAsia="tr-TR"/>
          <w14:ligatures w14:val="none"/>
        </w:rPr>
        <w:t>kağıt</w:t>
      </w:r>
      <w:proofErr w:type="gramEnd"/>
      <w:r w:rsidRPr="00EB2DC8">
        <w:rPr>
          <w:rFonts w:ascii="Times New Roman" w:eastAsia="Times New Roman" w:hAnsi="Times New Roman" w:cs="Times New Roman"/>
          <w:kern w:val="0"/>
          <w:sz w:val="22"/>
          <w:szCs w:val="22"/>
          <w:lang w:eastAsia="tr-TR"/>
          <w14:ligatures w14:val="none"/>
        </w:rPr>
        <w:t xml:space="preserve"> üzerindeki imzalar kadar bağlayıcı olabilmektedir.</w:t>
      </w:r>
    </w:p>
    <w:p w14:paraId="1043E7BC" w14:textId="77777777" w:rsidR="00E37618" w:rsidRPr="00EB2DC8" w:rsidRDefault="00E37618" w:rsidP="00E37618">
      <w:pPr>
        <w:spacing w:after="240" w:line="240" w:lineRule="auto"/>
        <w:jc w:val="both"/>
        <w:textAlignment w:val="baseline"/>
        <w:outlineLvl w:val="1"/>
        <w:rPr>
          <w:rFonts w:ascii="Times New Roman" w:eastAsia="Times New Roman" w:hAnsi="Times New Roman" w:cs="Times New Roman"/>
          <w:b/>
          <w:bCs/>
          <w:kern w:val="0"/>
          <w:sz w:val="22"/>
          <w:szCs w:val="22"/>
          <w:lang w:eastAsia="tr-TR"/>
          <w14:ligatures w14:val="none"/>
        </w:rPr>
      </w:pPr>
      <w:r w:rsidRPr="00EB2DC8">
        <w:rPr>
          <w:rFonts w:ascii="Times New Roman" w:eastAsia="Times New Roman" w:hAnsi="Times New Roman" w:cs="Times New Roman"/>
          <w:b/>
          <w:bCs/>
          <w:kern w:val="0"/>
          <w:sz w:val="22"/>
          <w:szCs w:val="22"/>
          <w:lang w:eastAsia="tr-TR"/>
          <w14:ligatures w14:val="none"/>
        </w:rPr>
        <w:t>Islak İmzadan Elektronik İmzaya: Hukuki Dayanaklar</w:t>
      </w:r>
    </w:p>
    <w:p w14:paraId="181DC7B4" w14:textId="77777777" w:rsidR="00E37618" w:rsidRPr="00EB2DC8" w:rsidRDefault="00E37618" w:rsidP="00E3761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xml:space="preserve">Elektronik imzanın hukuki </w:t>
      </w:r>
      <w:proofErr w:type="gramStart"/>
      <w:r w:rsidRPr="00EB2DC8">
        <w:rPr>
          <w:rFonts w:ascii="Times New Roman" w:eastAsia="Times New Roman" w:hAnsi="Times New Roman" w:cs="Times New Roman"/>
          <w:kern w:val="0"/>
          <w:sz w:val="22"/>
          <w:szCs w:val="22"/>
          <w:lang w:eastAsia="tr-TR"/>
          <w14:ligatures w14:val="none"/>
        </w:rPr>
        <w:t>geçerliliği,</w:t>
      </w:r>
      <w:proofErr w:type="gramEnd"/>
      <w:r w:rsidRPr="00EB2DC8">
        <w:rPr>
          <w:rFonts w:ascii="Times New Roman" w:eastAsia="Times New Roman" w:hAnsi="Times New Roman" w:cs="Times New Roman"/>
          <w:kern w:val="0"/>
          <w:sz w:val="22"/>
          <w:szCs w:val="22"/>
          <w:lang w:eastAsia="tr-TR"/>
          <w14:ligatures w14:val="none"/>
        </w:rPr>
        <w:t xml:space="preserve"> hem ulusal hem de uluslararası düzenlemelerle güvence altına alınmıştır. Türk hukukunda 6102 sayılı Türk Ticaret Kanunu ve 5070 sayılı Elektronik İmza Kanunu, güvenli elektronik imzanın (nitelikli sertifikaya dayanan e-imza) ıslak imza ile aynı değerde olduğunu açıkça belirtir. Bu, e-imza ile imzalanan bir belgenin mahkemede tıpkı ıslak imzalı bir belge gibi delil olarak kullanılabileceği anlamına gelir. Elektronik imzanın sağladığı bu hukuki geçerlilik, kriptografik yöntemlerle kimlik doğrulaması yapılması sayesinde mümkün olmaktadır. Her e-imza, imza sahibine ait benzersiz bir dijital anahtar ile oluşturulur ve bu sayede imzanın gerçek kişiden geldiği garanti altına alınır. İmza atıldıktan sonra belgede yapılacak herhangi bir değişiklik imzayı geçersiz kılacağı için, elektronik imza aynı zamanda belgenin bütünlüğünü de korur. Bu yönüyle dijital imzalar, siber ortamda güven tesis eden önemli araçlardır.</w:t>
      </w:r>
    </w:p>
    <w:p w14:paraId="498304E7" w14:textId="77777777" w:rsidR="00E37618" w:rsidRPr="00EB2DC8" w:rsidRDefault="00E37618" w:rsidP="00E3761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lastRenderedPageBreak/>
        <w:t xml:space="preserve">Uluslararası alanda da benzer bir yaklaşım söz konusudur. Avrupa Birliği’nde 1999/93/EC sayılı Direktif ve sonrasında yürürlüğe giren </w:t>
      </w:r>
      <w:proofErr w:type="spellStart"/>
      <w:r w:rsidRPr="00EB2DC8">
        <w:rPr>
          <w:rFonts w:ascii="Times New Roman" w:eastAsia="Times New Roman" w:hAnsi="Times New Roman" w:cs="Times New Roman"/>
          <w:kern w:val="0"/>
          <w:sz w:val="22"/>
          <w:szCs w:val="22"/>
          <w:lang w:eastAsia="tr-TR"/>
          <w14:ligatures w14:val="none"/>
        </w:rPr>
        <w:t>eIDAS</w:t>
      </w:r>
      <w:proofErr w:type="spellEnd"/>
      <w:r w:rsidRPr="00EB2DC8">
        <w:rPr>
          <w:rFonts w:ascii="Times New Roman" w:eastAsia="Times New Roman" w:hAnsi="Times New Roman" w:cs="Times New Roman"/>
          <w:kern w:val="0"/>
          <w:sz w:val="22"/>
          <w:szCs w:val="22"/>
          <w:lang w:eastAsia="tr-TR"/>
          <w14:ligatures w14:val="none"/>
        </w:rPr>
        <w:t xml:space="preserve"> Tüzüğü, güvenli elektronik imzaların üye ülkelerde ortak tanınmasını sağlamıştır. Bu düzenlemeler, Türkiye’nin 5070 sayılı Kanunu için de esin kaynağı olmuştur. Sonuç olarak, dijital çağda imzanın hukuki anlamı özünde değişmemiş; kişinin beyanını ve onayını temsil eden işaret niteliğini korumuştur. Ancak imzanın fiziki formu değişmiş, kalem-</w:t>
      </w:r>
      <w:proofErr w:type="gramStart"/>
      <w:r w:rsidRPr="00EB2DC8">
        <w:rPr>
          <w:rFonts w:ascii="Times New Roman" w:eastAsia="Times New Roman" w:hAnsi="Times New Roman" w:cs="Times New Roman"/>
          <w:kern w:val="0"/>
          <w:sz w:val="22"/>
          <w:szCs w:val="22"/>
          <w:lang w:eastAsia="tr-TR"/>
          <w14:ligatures w14:val="none"/>
        </w:rPr>
        <w:t>kağıt</w:t>
      </w:r>
      <w:proofErr w:type="gramEnd"/>
      <w:r w:rsidRPr="00EB2DC8">
        <w:rPr>
          <w:rFonts w:ascii="Times New Roman" w:eastAsia="Times New Roman" w:hAnsi="Times New Roman" w:cs="Times New Roman"/>
          <w:kern w:val="0"/>
          <w:sz w:val="22"/>
          <w:szCs w:val="22"/>
          <w:lang w:eastAsia="tr-TR"/>
          <w14:ligatures w14:val="none"/>
        </w:rPr>
        <w:t xml:space="preserve"> yerine dijital sertifikalar ve şifreleme teknolojileri devreye girmiştir.</w:t>
      </w:r>
    </w:p>
    <w:p w14:paraId="425FFAD1" w14:textId="77777777" w:rsidR="00E37618" w:rsidRPr="00EB2DC8" w:rsidRDefault="00E37618" w:rsidP="00E37618">
      <w:pPr>
        <w:spacing w:after="240" w:line="240" w:lineRule="auto"/>
        <w:jc w:val="both"/>
        <w:textAlignment w:val="baseline"/>
        <w:outlineLvl w:val="1"/>
        <w:rPr>
          <w:rFonts w:ascii="Times New Roman" w:eastAsia="Times New Roman" w:hAnsi="Times New Roman" w:cs="Times New Roman"/>
          <w:b/>
          <w:bCs/>
          <w:kern w:val="0"/>
          <w:sz w:val="22"/>
          <w:szCs w:val="22"/>
          <w:lang w:eastAsia="tr-TR"/>
          <w14:ligatures w14:val="none"/>
        </w:rPr>
      </w:pPr>
      <w:r w:rsidRPr="00EB2DC8">
        <w:rPr>
          <w:rFonts w:ascii="Times New Roman" w:eastAsia="Times New Roman" w:hAnsi="Times New Roman" w:cs="Times New Roman"/>
          <w:b/>
          <w:bCs/>
          <w:kern w:val="0"/>
          <w:sz w:val="22"/>
          <w:szCs w:val="22"/>
          <w:lang w:eastAsia="tr-TR"/>
          <w14:ligatures w14:val="none"/>
        </w:rPr>
        <w:t>Elektronik İmzanın Kapsamı ve Sınırları</w:t>
      </w:r>
    </w:p>
    <w:p w14:paraId="77260927" w14:textId="77777777" w:rsidR="00E37618" w:rsidRPr="00EB2DC8" w:rsidRDefault="00E37618" w:rsidP="00E3761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Türk hukuku, “güvenli elektronik imza” kavramını teknik standartlara bağlamıştır. E-imzanın güvenli sayılabilmesi için yalnız imza sahibinin kontrolündeki bir oluşturma aracıyla üretilmesi, nitelikli elektronik sertifikaya dayanması ve imzalanan veride sonradan değişiklik yapılıp yapılmadığını tespit etme imkânı vermesi gerekir. Bu nitelikleri taşıyan güvenli e-imza, ıslak imza ile tamamen aynı hukukî etkiyi doğurur ve onunla aynı güçte kesin delil teşkil eder. Bununla birlikte kanun koyucu, her tür işlemin elektronik imza ile yapılmasına izin vermemiştir. Elektronik İmza Kanunu m.5’te, bazı işlemlerin güvenli e-imza ile gerçekleştirilemeyeceği açıkça düzenlenmiştir. Örneğin:</w:t>
      </w:r>
    </w:p>
    <w:p w14:paraId="093A0639" w14:textId="77777777" w:rsidR="00E37618" w:rsidRPr="00EB2DC8" w:rsidRDefault="00E37618" w:rsidP="00E3761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b/>
          <w:bCs/>
          <w:kern w:val="0"/>
          <w:sz w:val="22"/>
          <w:szCs w:val="22"/>
          <w:bdr w:val="none" w:sz="0" w:space="0" w:color="auto" w:frame="1"/>
          <w:lang w:eastAsia="tr-TR"/>
          <w14:ligatures w14:val="none"/>
        </w:rPr>
        <w:t>Resmi şekil şartına tabi işlemler:</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kern w:val="0"/>
          <w:sz w:val="22"/>
          <w:szCs w:val="22"/>
          <w:lang w:eastAsia="tr-TR"/>
          <w14:ligatures w14:val="none"/>
        </w:rPr>
        <w:t>Noter veya tapu memuru huzurunda yapılması zorunlu işlemler (örneğin gayrimenkul satış vaadi tapuda yapılmalıdır) dijital imza ile yapılamaz. Benzer şekilde özel merasim gerektiren işlemler de (</w:t>
      </w:r>
      <w:proofErr w:type="spellStart"/>
      <w:r w:rsidRPr="00EB2DC8">
        <w:rPr>
          <w:rFonts w:ascii="Times New Roman" w:eastAsia="Times New Roman" w:hAnsi="Times New Roman" w:cs="Times New Roman"/>
          <w:kern w:val="0"/>
          <w:sz w:val="22"/>
          <w:szCs w:val="22"/>
          <w:lang w:eastAsia="tr-TR"/>
          <w14:ligatures w14:val="none"/>
        </w:rPr>
        <w:t>örn</w:t>
      </w:r>
      <w:proofErr w:type="spellEnd"/>
      <w:r w:rsidRPr="00EB2DC8">
        <w:rPr>
          <w:rFonts w:ascii="Times New Roman" w:eastAsia="Times New Roman" w:hAnsi="Times New Roman" w:cs="Times New Roman"/>
          <w:kern w:val="0"/>
          <w:sz w:val="22"/>
          <w:szCs w:val="22"/>
          <w:lang w:eastAsia="tr-TR"/>
          <w14:ligatures w14:val="none"/>
        </w:rPr>
        <w:t>. evlenme akdi) e-imza kapsamı dışındadır.</w:t>
      </w:r>
    </w:p>
    <w:p w14:paraId="120D5F4C" w14:textId="77777777" w:rsidR="00E37618" w:rsidRPr="00EB2DC8" w:rsidRDefault="00E37618" w:rsidP="00E3761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b/>
          <w:bCs/>
          <w:kern w:val="0"/>
          <w:sz w:val="22"/>
          <w:szCs w:val="22"/>
          <w:bdr w:val="none" w:sz="0" w:space="0" w:color="auto" w:frame="1"/>
          <w:lang w:eastAsia="tr-TR"/>
          <w14:ligatures w14:val="none"/>
        </w:rPr>
        <w:t>Kıymetli evrak ve kambiyo senetleri:</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kern w:val="0"/>
          <w:sz w:val="22"/>
          <w:szCs w:val="22"/>
          <w:lang w:eastAsia="tr-TR"/>
          <w14:ligatures w14:val="none"/>
        </w:rPr>
        <w:t>Poliçe, bono, çek gibi senetler ile bunların kabul, ciro, aval gibi işlemleri elektronik imza kullanılarak geçerli şekilde düzenlenemez. Bu tür belgelerin geleneksel ıslak imza ile imzalanması zorunludur.</w:t>
      </w:r>
    </w:p>
    <w:p w14:paraId="260DAEFE" w14:textId="77777777" w:rsidR="00E37618" w:rsidRPr="00EB2DC8" w:rsidRDefault="00E37618" w:rsidP="00E37618">
      <w:pPr>
        <w:spacing w:after="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b/>
          <w:bCs/>
          <w:kern w:val="0"/>
          <w:sz w:val="22"/>
          <w:szCs w:val="22"/>
          <w:bdr w:val="none" w:sz="0" w:space="0" w:color="auto" w:frame="1"/>
          <w:lang w:eastAsia="tr-TR"/>
          <w14:ligatures w14:val="none"/>
        </w:rPr>
        <w:t>Teminat sözleşmeleri:</w:t>
      </w:r>
      <w:r w:rsidRPr="00EB2DC8">
        <w:rPr>
          <w:rFonts w:ascii="Times New Roman" w:eastAsia="Times New Roman" w:hAnsi="Times New Roman" w:cs="Times New Roman"/>
          <w:kern w:val="0"/>
          <w:sz w:val="22"/>
          <w:szCs w:val="22"/>
          <w:bdr w:val="none" w:sz="0" w:space="0" w:color="auto" w:frame="1"/>
          <w:lang w:eastAsia="tr-TR"/>
          <w14:ligatures w14:val="none"/>
        </w:rPr>
        <w:t xml:space="preserve"> </w:t>
      </w:r>
      <w:r w:rsidRPr="00EB2DC8">
        <w:rPr>
          <w:rFonts w:ascii="Times New Roman" w:eastAsia="Times New Roman" w:hAnsi="Times New Roman" w:cs="Times New Roman"/>
          <w:kern w:val="0"/>
          <w:sz w:val="22"/>
          <w:szCs w:val="22"/>
          <w:lang w:eastAsia="tr-TR"/>
          <w14:ligatures w14:val="none"/>
        </w:rPr>
        <w:t>Banka teminat mektubu haricindeki kefalet ve teminat sözleşmelerinin de güvenli e-imza ile yapılmasına izin verilmemiştir. Özellikle Türk Borçlar Kanunu, kefalet sözleşmeleri için el yazısıyla miktar yazma gibi özel şartlar öngördüğünden, e-imza bu şartı karşılamaz.</w:t>
      </w:r>
    </w:p>
    <w:p w14:paraId="75FF0B94" w14:textId="77777777" w:rsidR="00E37618" w:rsidRPr="00EB2DC8" w:rsidRDefault="00E37618" w:rsidP="00E3761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Yukarıdaki istisnalar dışında, özel bir kanuni şekil şartı aranmayan hemen her sözleşme ve işlem elektronik imza ile gerçekleştirilebilir. Elektronik imza, belgeye tarih/saat damgası eklenerek zaman da belirlenebilir hale getirildiğinde, işlemin ne zaman yapıldığı da kesinlik kazanır. Ancak uygulamada dikkat edilmesi gereken, kullanılan e-imzanın nitelikli sertifikaya sahip güvenli e-imza olmasıdır. Aksi takdirde, örneğin taranmış bir imza görüntüsü veya basit dijital imzalar, hukuken ıslak imza ile aynı korumayı sağlamaz.</w:t>
      </w:r>
    </w:p>
    <w:p w14:paraId="546C2DA4" w14:textId="77777777" w:rsidR="00E37618" w:rsidRPr="00EB2DC8" w:rsidRDefault="00E37618" w:rsidP="00E37618">
      <w:pPr>
        <w:spacing w:after="240" w:line="240" w:lineRule="auto"/>
        <w:jc w:val="both"/>
        <w:textAlignment w:val="baseline"/>
        <w:outlineLvl w:val="1"/>
        <w:rPr>
          <w:rFonts w:ascii="Times New Roman" w:eastAsia="Times New Roman" w:hAnsi="Times New Roman" w:cs="Times New Roman"/>
          <w:b/>
          <w:bCs/>
          <w:kern w:val="0"/>
          <w:sz w:val="22"/>
          <w:szCs w:val="22"/>
          <w:lang w:eastAsia="tr-TR"/>
          <w14:ligatures w14:val="none"/>
        </w:rPr>
      </w:pPr>
      <w:r w:rsidRPr="00EB2DC8">
        <w:rPr>
          <w:rFonts w:ascii="Times New Roman" w:eastAsia="Times New Roman" w:hAnsi="Times New Roman" w:cs="Times New Roman"/>
          <w:b/>
          <w:bCs/>
          <w:kern w:val="0"/>
          <w:sz w:val="22"/>
          <w:szCs w:val="22"/>
          <w:lang w:eastAsia="tr-TR"/>
          <w14:ligatures w14:val="none"/>
        </w:rPr>
        <w:t>Dijital İmza vs. Dijital “Onay”: Yeni Teknolojiler ve Riskler</w:t>
      </w:r>
    </w:p>
    <w:p w14:paraId="551FD69A" w14:textId="77777777" w:rsidR="00E37618" w:rsidRPr="00EB2DC8" w:rsidRDefault="00E37618" w:rsidP="00E3761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İş dünyasında elektronik imza kullanımı her geçen gün yaygınlaşıyor. Finansal kurumlar, bankalar, sigorta şirketleri, hatta sağlık ve eğitim sektörü bile dokümanları dijital olarak imzalamaya başladı. Özellikle uzaktan çalışma düzenine geçişle birlikte, sözleşmelerin e-imza ile imzalanıp elektronik ortamda paylaşılması büyük zaman kazancı ve pratiklik sağlıyor. Bununla beraber teknolojik gelişmeler, farklı imza yöntemlerini de gündeme getirdi. Mobil imza, cep telefonu SIM kartı aracılığıyla e-imza atmaya imkân tanırken; biyometrik imza tablet ekranında el yazısı imzanın dijital olarak kaydedilmesini sağlar. Ayrıca, sözleşmelerde “tıkla ve kabul et” (</w:t>
      </w:r>
      <w:proofErr w:type="spellStart"/>
      <w:r w:rsidRPr="00EB2DC8">
        <w:rPr>
          <w:rFonts w:ascii="Times New Roman" w:eastAsia="Times New Roman" w:hAnsi="Times New Roman" w:cs="Times New Roman"/>
          <w:kern w:val="0"/>
          <w:sz w:val="22"/>
          <w:szCs w:val="22"/>
          <w:lang w:eastAsia="tr-TR"/>
          <w14:ligatures w14:val="none"/>
        </w:rPr>
        <w:t>clickwrap</w:t>
      </w:r>
      <w:proofErr w:type="spellEnd"/>
      <w:r w:rsidRPr="00EB2DC8">
        <w:rPr>
          <w:rFonts w:ascii="Times New Roman" w:eastAsia="Times New Roman" w:hAnsi="Times New Roman" w:cs="Times New Roman"/>
          <w:kern w:val="0"/>
          <w:sz w:val="22"/>
          <w:szCs w:val="22"/>
          <w:lang w:eastAsia="tr-TR"/>
          <w14:ligatures w14:val="none"/>
        </w:rPr>
        <w:t>) gibi onay yöntemleri de elektronik ortamda akdetmenin yeni yolları olarak görülüyor.</w:t>
      </w:r>
    </w:p>
    <w:p w14:paraId="4178AC9C" w14:textId="77777777" w:rsidR="00E37618" w:rsidRPr="00EB2DC8" w:rsidRDefault="00E37618" w:rsidP="00E37618">
      <w:pPr>
        <w:spacing w:after="0" w:line="240" w:lineRule="auto"/>
        <w:jc w:val="both"/>
        <w:textAlignment w:val="baseline"/>
        <w:rPr>
          <w:rFonts w:ascii="Times New Roman" w:eastAsia="Times New Roman" w:hAnsi="Times New Roman" w:cs="Times New Roman"/>
          <w:color w:val="56687A"/>
          <w:kern w:val="0"/>
          <w:sz w:val="22"/>
          <w:szCs w:val="22"/>
          <w:lang w:eastAsia="tr-TR"/>
          <w14:ligatures w14:val="none"/>
        </w:rPr>
      </w:pPr>
      <w:r w:rsidRPr="00EB2DC8">
        <w:rPr>
          <w:rFonts w:ascii="Times New Roman" w:eastAsia="Times New Roman" w:hAnsi="Times New Roman" w:cs="Times New Roman"/>
          <w:b/>
          <w:bCs/>
          <w:color w:val="56687A"/>
          <w:kern w:val="0"/>
          <w:sz w:val="22"/>
          <w:szCs w:val="22"/>
          <w:bdr w:val="none" w:sz="0" w:space="0" w:color="auto" w:frame="1"/>
          <w:lang w:eastAsia="tr-TR"/>
          <w14:ligatures w14:val="none"/>
        </w:rPr>
        <w:t>Ancak burada kritik bir ayrım var: Her dijital imza, hukuken “güvenli elektronik imza” değildir.</w:t>
      </w:r>
    </w:p>
    <w:p w14:paraId="4D82AE45" w14:textId="77777777" w:rsidR="00E37618" w:rsidRPr="00EB2DC8" w:rsidRDefault="00E37618" w:rsidP="00E3761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xml:space="preserve">Örneğin, dünya çapında popüler olan </w:t>
      </w:r>
      <w:proofErr w:type="spellStart"/>
      <w:r w:rsidRPr="00EB2DC8">
        <w:rPr>
          <w:rFonts w:ascii="Times New Roman" w:eastAsia="Times New Roman" w:hAnsi="Times New Roman" w:cs="Times New Roman"/>
          <w:kern w:val="0"/>
          <w:sz w:val="22"/>
          <w:szCs w:val="22"/>
          <w:lang w:eastAsia="tr-TR"/>
          <w14:ligatures w14:val="none"/>
        </w:rPr>
        <w:t>DocuSign</w:t>
      </w:r>
      <w:proofErr w:type="spellEnd"/>
      <w:r w:rsidRPr="00EB2DC8">
        <w:rPr>
          <w:rFonts w:ascii="Times New Roman" w:eastAsia="Times New Roman" w:hAnsi="Times New Roman" w:cs="Times New Roman"/>
          <w:kern w:val="0"/>
          <w:sz w:val="22"/>
          <w:szCs w:val="22"/>
          <w:lang w:eastAsia="tr-TR"/>
          <w14:ligatures w14:val="none"/>
        </w:rPr>
        <w:t xml:space="preserve">, Adobe </w:t>
      </w:r>
      <w:proofErr w:type="spellStart"/>
      <w:r w:rsidRPr="00EB2DC8">
        <w:rPr>
          <w:rFonts w:ascii="Times New Roman" w:eastAsia="Times New Roman" w:hAnsi="Times New Roman" w:cs="Times New Roman"/>
          <w:kern w:val="0"/>
          <w:sz w:val="22"/>
          <w:szCs w:val="22"/>
          <w:lang w:eastAsia="tr-TR"/>
          <w14:ligatures w14:val="none"/>
        </w:rPr>
        <w:t>Sign</w:t>
      </w:r>
      <w:proofErr w:type="spellEnd"/>
      <w:r w:rsidRPr="00EB2DC8">
        <w:rPr>
          <w:rFonts w:ascii="Times New Roman" w:eastAsia="Times New Roman" w:hAnsi="Times New Roman" w:cs="Times New Roman"/>
          <w:kern w:val="0"/>
          <w:sz w:val="22"/>
          <w:szCs w:val="22"/>
          <w:lang w:eastAsia="tr-TR"/>
          <w14:ligatures w14:val="none"/>
        </w:rPr>
        <w:t xml:space="preserve"> gibi platformlar üzerinden atılan imzalar, Türkiye’deki kanun kapsamında nitelikli elektronik sertifikaya dayanmadıkça güvenli e-imza sayılmaz. Bu tip imzalar, teknik olarak belgeye eklenmiş dijital onaylar olsa da Türkiye’de yasal dayanakları olmadığı için ıslak imza ile aynı hukuki sonucu doğurmazlar. </w:t>
      </w:r>
      <w:proofErr w:type="gramStart"/>
      <w:r w:rsidRPr="00EB2DC8">
        <w:rPr>
          <w:rFonts w:ascii="Times New Roman" w:eastAsia="Times New Roman" w:hAnsi="Times New Roman" w:cs="Times New Roman"/>
          <w:kern w:val="0"/>
          <w:sz w:val="22"/>
          <w:szCs w:val="22"/>
          <w:lang w:eastAsia="tr-TR"/>
          <w14:ligatures w14:val="none"/>
        </w:rPr>
        <w:t>Doküman</w:t>
      </w:r>
      <w:proofErr w:type="gramEnd"/>
      <w:r w:rsidRPr="00EB2DC8">
        <w:rPr>
          <w:rFonts w:ascii="Times New Roman" w:eastAsia="Times New Roman" w:hAnsi="Times New Roman" w:cs="Times New Roman"/>
          <w:kern w:val="0"/>
          <w:sz w:val="22"/>
          <w:szCs w:val="22"/>
          <w:lang w:eastAsia="tr-TR"/>
          <w14:ligatures w14:val="none"/>
        </w:rPr>
        <w:t xml:space="preserve"> üzerinde imza görüntüsü oluşturmak veya e-posta yoluyla “onaylamak” da benzer şekilde geçerli bir e-imza yerine geçmez. Bu </w:t>
      </w:r>
      <w:r w:rsidRPr="00EB2DC8">
        <w:rPr>
          <w:rFonts w:ascii="Times New Roman" w:eastAsia="Times New Roman" w:hAnsi="Times New Roman" w:cs="Times New Roman"/>
          <w:kern w:val="0"/>
          <w:sz w:val="22"/>
          <w:szCs w:val="22"/>
          <w:lang w:eastAsia="tr-TR"/>
          <w14:ligatures w14:val="none"/>
        </w:rPr>
        <w:lastRenderedPageBreak/>
        <w:t>tür imzalar ancak taraflar arasında bir delil başlangıcı olarak değerlendirilebilir; fakat herhangi bir uyuşmazlık halinde, gerçek bir güvenli e-imza gibi kesin ispat gücüne sahip olmayacaklardır.</w:t>
      </w:r>
    </w:p>
    <w:p w14:paraId="29645F7D" w14:textId="77777777" w:rsidR="00E37618" w:rsidRPr="00EB2DC8" w:rsidRDefault="00E37618" w:rsidP="00E3761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Dolayısıyla şirketler ve bireyler, elektronik imzanın avantajlarından tam anlamıyla faydalanmak istiyorsa, yasal olarak geçerli bir e-imza sertifikası edinmeli ve onu kullanmalıdır. E-imza kullanımında güvenlik de bir diğer önemli boyuttur: İmza sahibinin özel anahtarı ve şifreleri korunmadığı takdirde, başkası onun adına imza atabilir ve bu da hukuki sorunlara yol açabilir.</w:t>
      </w:r>
    </w:p>
    <w:p w14:paraId="0AB010C3" w14:textId="77777777" w:rsidR="00E37618" w:rsidRPr="00EB2DC8" w:rsidRDefault="00E37618" w:rsidP="00E37618">
      <w:pPr>
        <w:spacing w:after="240" w:line="240" w:lineRule="auto"/>
        <w:jc w:val="both"/>
        <w:textAlignment w:val="baseline"/>
        <w:outlineLvl w:val="1"/>
        <w:rPr>
          <w:rFonts w:ascii="Times New Roman" w:eastAsia="Times New Roman" w:hAnsi="Times New Roman" w:cs="Times New Roman"/>
          <w:b/>
          <w:bCs/>
          <w:kern w:val="0"/>
          <w:sz w:val="22"/>
          <w:szCs w:val="22"/>
          <w:lang w:eastAsia="tr-TR"/>
          <w14:ligatures w14:val="none"/>
        </w:rPr>
      </w:pPr>
      <w:r w:rsidRPr="00EB2DC8">
        <w:rPr>
          <w:rFonts w:ascii="Times New Roman" w:eastAsia="Times New Roman" w:hAnsi="Times New Roman" w:cs="Times New Roman"/>
          <w:b/>
          <w:bCs/>
          <w:kern w:val="0"/>
          <w:sz w:val="22"/>
          <w:szCs w:val="22"/>
          <w:lang w:eastAsia="tr-TR"/>
          <w14:ligatures w14:val="none"/>
        </w:rPr>
        <w:t>Sonuç</w:t>
      </w:r>
    </w:p>
    <w:p w14:paraId="1F7FADDB" w14:textId="77777777" w:rsidR="00E37618" w:rsidRPr="00EB2DC8" w:rsidRDefault="00E37618" w:rsidP="00E3761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 xml:space="preserve">Dijital çağ, imza kavramının şeklini değiştirmiş olsa da özünü değiştirmemiştir. İmza hâlâ bir tasdik ve taahhüt beyanıdır; sadece </w:t>
      </w:r>
      <w:proofErr w:type="gramStart"/>
      <w:r w:rsidRPr="00EB2DC8">
        <w:rPr>
          <w:rFonts w:ascii="Times New Roman" w:eastAsia="Times New Roman" w:hAnsi="Times New Roman" w:cs="Times New Roman"/>
          <w:kern w:val="0"/>
          <w:sz w:val="22"/>
          <w:szCs w:val="22"/>
          <w:lang w:eastAsia="tr-TR"/>
          <w14:ligatures w14:val="none"/>
        </w:rPr>
        <w:t>kağıt</w:t>
      </w:r>
      <w:proofErr w:type="gramEnd"/>
      <w:r w:rsidRPr="00EB2DC8">
        <w:rPr>
          <w:rFonts w:ascii="Times New Roman" w:eastAsia="Times New Roman" w:hAnsi="Times New Roman" w:cs="Times New Roman"/>
          <w:kern w:val="0"/>
          <w:sz w:val="22"/>
          <w:szCs w:val="22"/>
          <w:lang w:eastAsia="tr-TR"/>
          <w14:ligatures w14:val="none"/>
        </w:rPr>
        <w:t xml:space="preserve"> yerine elektronik ortamda atılmaktadır. Türkiye’de ve dünyada oluşturulan hukuki çerçeve, elektronik imzaya geniş bir geçerlilik tanıyarak iş hayatını kolaylaştırmıştır. Elektronik imza sayesinde belgeler birkaç tıkla imzalanıp iletilebilmekte, fiziksel olarak bir araya gelme zorunluluğu ortadan kalkmaktadır. Bu pratiklik, zaman ve maliyet tasarrufu sağlarken, </w:t>
      </w:r>
      <w:proofErr w:type="gramStart"/>
      <w:r w:rsidRPr="00EB2DC8">
        <w:rPr>
          <w:rFonts w:ascii="Times New Roman" w:eastAsia="Times New Roman" w:hAnsi="Times New Roman" w:cs="Times New Roman"/>
          <w:kern w:val="0"/>
          <w:sz w:val="22"/>
          <w:szCs w:val="22"/>
          <w:lang w:eastAsia="tr-TR"/>
          <w14:ligatures w14:val="none"/>
        </w:rPr>
        <w:t>kağıt</w:t>
      </w:r>
      <w:proofErr w:type="gramEnd"/>
      <w:r w:rsidRPr="00EB2DC8">
        <w:rPr>
          <w:rFonts w:ascii="Times New Roman" w:eastAsia="Times New Roman" w:hAnsi="Times New Roman" w:cs="Times New Roman"/>
          <w:kern w:val="0"/>
          <w:sz w:val="22"/>
          <w:szCs w:val="22"/>
          <w:lang w:eastAsia="tr-TR"/>
          <w14:ligatures w14:val="none"/>
        </w:rPr>
        <w:t xml:space="preserve"> tüketimini de azaltarak çevresel fayda yaratır.</w:t>
      </w:r>
    </w:p>
    <w:p w14:paraId="003D7A10" w14:textId="77777777" w:rsidR="00E37618" w:rsidRPr="00EB2DC8" w:rsidRDefault="00E37618" w:rsidP="00E37618">
      <w:pPr>
        <w:spacing w:after="480" w:line="240" w:lineRule="auto"/>
        <w:jc w:val="both"/>
        <w:textAlignment w:val="baseline"/>
        <w:rPr>
          <w:rFonts w:ascii="Times New Roman" w:eastAsia="Times New Roman" w:hAnsi="Times New Roman" w:cs="Times New Roman"/>
          <w:kern w:val="0"/>
          <w:sz w:val="22"/>
          <w:szCs w:val="22"/>
          <w:lang w:eastAsia="tr-TR"/>
          <w14:ligatures w14:val="none"/>
        </w:rPr>
      </w:pPr>
      <w:r w:rsidRPr="00EB2DC8">
        <w:rPr>
          <w:rFonts w:ascii="Times New Roman" w:eastAsia="Times New Roman" w:hAnsi="Times New Roman" w:cs="Times New Roman"/>
          <w:kern w:val="0"/>
          <w:sz w:val="22"/>
          <w:szCs w:val="22"/>
          <w:lang w:eastAsia="tr-TR"/>
          <w14:ligatures w14:val="none"/>
        </w:rPr>
        <w:t>Elbette dijital imza kullanırken, kanuni sınırlamaların farkında olmak ve gerekli teknik güvenlik önlemlerini almak şarttır. Uygun şekilde kullanıldığında elektronik imza, dijital dünyada güvenliğin ve güvenilirliğin anahtarlarından biri haline gelmiştir. Sonuç olarak imzanın anlamı özünde değişmemiş; ancak imzalama süreçleri teknolojinin etkisiyle evrilerek modernleşmiştir. İster ıslak ister elektronik olsun, imza atarken esas amaç aynıdır: irade beyanımızı resmîleştirmek ve hukuki güvence altına almak.</w:t>
      </w:r>
    </w:p>
    <w:p w14:paraId="229D8139" w14:textId="77777777" w:rsidR="002528F0" w:rsidRPr="00EB2DC8" w:rsidRDefault="002528F0" w:rsidP="00E37618">
      <w:pPr>
        <w:jc w:val="both"/>
        <w:rPr>
          <w:rFonts w:ascii="Times New Roman" w:hAnsi="Times New Roman" w:cs="Times New Roman"/>
          <w:b/>
          <w:bCs/>
          <w:sz w:val="22"/>
          <w:szCs w:val="22"/>
        </w:rPr>
      </w:pPr>
    </w:p>
    <w:p w14:paraId="50453075" w14:textId="77777777" w:rsidR="002528F0" w:rsidRPr="00EB2DC8" w:rsidRDefault="002528F0" w:rsidP="00E37618">
      <w:pPr>
        <w:jc w:val="both"/>
        <w:rPr>
          <w:rFonts w:ascii="Times New Roman" w:hAnsi="Times New Roman" w:cs="Times New Roman"/>
          <w:b/>
          <w:bCs/>
          <w:sz w:val="22"/>
          <w:szCs w:val="22"/>
        </w:rPr>
      </w:pPr>
    </w:p>
    <w:sectPr w:rsidR="002528F0" w:rsidRPr="00EB2D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7DE4"/>
    <w:multiLevelType w:val="multilevel"/>
    <w:tmpl w:val="CE343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30724"/>
    <w:multiLevelType w:val="multilevel"/>
    <w:tmpl w:val="4914F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B76EBE"/>
    <w:multiLevelType w:val="multilevel"/>
    <w:tmpl w:val="9A9E5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2B665A"/>
    <w:multiLevelType w:val="hybridMultilevel"/>
    <w:tmpl w:val="9CD0806C"/>
    <w:lvl w:ilvl="0" w:tplc="CD105D8E">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BB76254"/>
    <w:multiLevelType w:val="multilevel"/>
    <w:tmpl w:val="E6A27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B83B46"/>
    <w:multiLevelType w:val="multilevel"/>
    <w:tmpl w:val="3B9C5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1D05F5"/>
    <w:multiLevelType w:val="hybridMultilevel"/>
    <w:tmpl w:val="7C2E5094"/>
    <w:lvl w:ilvl="0" w:tplc="B952EF1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8F904B7"/>
    <w:multiLevelType w:val="multilevel"/>
    <w:tmpl w:val="C2804016"/>
    <w:lvl w:ilvl="0">
      <w:start w:val="1"/>
      <w:numFmt w:val="lowerLetter"/>
      <w:lvlText w:val="%1-"/>
      <w:lvlJc w:val="left"/>
      <w:pPr>
        <w:tabs>
          <w:tab w:val="num" w:pos="720"/>
        </w:tabs>
        <w:ind w:left="720" w:hanging="360"/>
      </w:pPr>
      <w:rPr>
        <w:rFonts w:ascii="Calibri" w:eastAsiaTheme="minorHAnsi"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4C6717"/>
    <w:multiLevelType w:val="hybridMultilevel"/>
    <w:tmpl w:val="061488A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BA933D7"/>
    <w:multiLevelType w:val="hybridMultilevel"/>
    <w:tmpl w:val="5F62A15E"/>
    <w:lvl w:ilvl="0" w:tplc="77B49D42">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DE01377"/>
    <w:multiLevelType w:val="hybridMultilevel"/>
    <w:tmpl w:val="2FDC590C"/>
    <w:lvl w:ilvl="0" w:tplc="A5DED62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EEC5102"/>
    <w:multiLevelType w:val="hybridMultilevel"/>
    <w:tmpl w:val="6C509478"/>
    <w:lvl w:ilvl="0" w:tplc="041F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0864C6A"/>
    <w:multiLevelType w:val="multilevel"/>
    <w:tmpl w:val="DC2C3C74"/>
    <w:lvl w:ilvl="0">
      <w:start w:val="1"/>
      <w:numFmt w:val="decimal"/>
      <w:lvlText w:val="%1."/>
      <w:lvlJc w:val="left"/>
      <w:pPr>
        <w:tabs>
          <w:tab w:val="num" w:pos="720"/>
        </w:tabs>
        <w:ind w:left="720" w:hanging="360"/>
      </w:pPr>
      <w:rPr>
        <w:rFonts w:ascii="Times New Roman" w:hAnsi="Times New Roman" w:cs="Times New Roman"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FE69AC"/>
    <w:multiLevelType w:val="multilevel"/>
    <w:tmpl w:val="58981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0D392F"/>
    <w:multiLevelType w:val="multilevel"/>
    <w:tmpl w:val="12C682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47CA59BE"/>
    <w:multiLevelType w:val="multilevel"/>
    <w:tmpl w:val="14346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CC664C"/>
    <w:multiLevelType w:val="multilevel"/>
    <w:tmpl w:val="811A6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C51B34"/>
    <w:multiLevelType w:val="hybridMultilevel"/>
    <w:tmpl w:val="72E429F6"/>
    <w:lvl w:ilvl="0" w:tplc="E3C0F1D0">
      <w:numFmt w:val="bullet"/>
      <w:lvlText w:val="-"/>
      <w:lvlJc w:val="left"/>
      <w:pPr>
        <w:ind w:left="720" w:hanging="360"/>
      </w:pPr>
      <w:rPr>
        <w:rFonts w:ascii="Times New Roman" w:eastAsiaTheme="minorHAnsi" w:hAnsi="Times New Roman"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CC850C5"/>
    <w:multiLevelType w:val="multilevel"/>
    <w:tmpl w:val="BE402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250047"/>
    <w:multiLevelType w:val="multilevel"/>
    <w:tmpl w:val="8CA4E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D26818"/>
    <w:multiLevelType w:val="hybridMultilevel"/>
    <w:tmpl w:val="05FE3F26"/>
    <w:lvl w:ilvl="0" w:tplc="35CAD7B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DAC51EF"/>
    <w:multiLevelType w:val="hybridMultilevel"/>
    <w:tmpl w:val="61AA5518"/>
    <w:lvl w:ilvl="0" w:tplc="3842B9BE">
      <w:numFmt w:val="bullet"/>
      <w:lvlText w:val="-"/>
      <w:lvlJc w:val="left"/>
      <w:pPr>
        <w:ind w:left="720" w:hanging="360"/>
      </w:pPr>
      <w:rPr>
        <w:rFonts w:ascii="Times New Roman" w:eastAsiaTheme="minorHAnsi" w:hAnsi="Times New Roman"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C461525"/>
    <w:multiLevelType w:val="hybridMultilevel"/>
    <w:tmpl w:val="7F14A92C"/>
    <w:lvl w:ilvl="0" w:tplc="DEE225AC">
      <w:start w:val="17"/>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A5D1CB3"/>
    <w:multiLevelType w:val="multilevel"/>
    <w:tmpl w:val="66DEE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7158034">
    <w:abstractNumId w:val="12"/>
  </w:num>
  <w:num w:numId="2" w16cid:durableId="133455022">
    <w:abstractNumId w:val="11"/>
  </w:num>
  <w:num w:numId="3" w16cid:durableId="1836602135">
    <w:abstractNumId w:val="22"/>
  </w:num>
  <w:num w:numId="4" w16cid:durableId="2094161797">
    <w:abstractNumId w:val="2"/>
  </w:num>
  <w:num w:numId="5" w16cid:durableId="1294679580">
    <w:abstractNumId w:val="18"/>
  </w:num>
  <w:num w:numId="6" w16cid:durableId="501243579">
    <w:abstractNumId w:val="8"/>
  </w:num>
  <w:num w:numId="7" w16cid:durableId="76483613">
    <w:abstractNumId w:val="4"/>
  </w:num>
  <w:num w:numId="8" w16cid:durableId="592973368">
    <w:abstractNumId w:val="13"/>
  </w:num>
  <w:num w:numId="9" w16cid:durableId="358363330">
    <w:abstractNumId w:val="7"/>
  </w:num>
  <w:num w:numId="10" w16cid:durableId="1403142554">
    <w:abstractNumId w:val="15"/>
  </w:num>
  <w:num w:numId="11" w16cid:durableId="126554521">
    <w:abstractNumId w:val="6"/>
  </w:num>
  <w:num w:numId="12" w16cid:durableId="1711801792">
    <w:abstractNumId w:val="19"/>
  </w:num>
  <w:num w:numId="13" w16cid:durableId="1693843702">
    <w:abstractNumId w:val="16"/>
  </w:num>
  <w:num w:numId="14" w16cid:durableId="866597487">
    <w:abstractNumId w:val="5"/>
  </w:num>
  <w:num w:numId="15" w16cid:durableId="230583673">
    <w:abstractNumId w:val="23"/>
  </w:num>
  <w:num w:numId="16" w16cid:durableId="591203510">
    <w:abstractNumId w:val="1"/>
  </w:num>
  <w:num w:numId="17" w16cid:durableId="2026518520">
    <w:abstractNumId w:val="3"/>
  </w:num>
  <w:num w:numId="18" w16cid:durableId="1606233089">
    <w:abstractNumId w:val="10"/>
  </w:num>
  <w:num w:numId="19" w16cid:durableId="700938082">
    <w:abstractNumId w:val="9"/>
  </w:num>
  <w:num w:numId="20" w16cid:durableId="1285040708">
    <w:abstractNumId w:val="0"/>
  </w:num>
  <w:num w:numId="21" w16cid:durableId="1645551178">
    <w:abstractNumId w:val="14"/>
  </w:num>
  <w:num w:numId="22" w16cid:durableId="563373552">
    <w:abstractNumId w:val="17"/>
  </w:num>
  <w:num w:numId="23" w16cid:durableId="298875228">
    <w:abstractNumId w:val="20"/>
  </w:num>
  <w:num w:numId="24" w16cid:durableId="8088348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FFF"/>
    <w:rsid w:val="00057CE7"/>
    <w:rsid w:val="000C0618"/>
    <w:rsid w:val="000D41D2"/>
    <w:rsid w:val="001357B2"/>
    <w:rsid w:val="00166922"/>
    <w:rsid w:val="001824D6"/>
    <w:rsid w:val="002059CA"/>
    <w:rsid w:val="002528F0"/>
    <w:rsid w:val="00254A56"/>
    <w:rsid w:val="002D3C5F"/>
    <w:rsid w:val="004C39FC"/>
    <w:rsid w:val="004D6D50"/>
    <w:rsid w:val="00543C8B"/>
    <w:rsid w:val="00601FFF"/>
    <w:rsid w:val="00726D75"/>
    <w:rsid w:val="00771D9F"/>
    <w:rsid w:val="00775ACD"/>
    <w:rsid w:val="00777879"/>
    <w:rsid w:val="008822C7"/>
    <w:rsid w:val="008B4AF7"/>
    <w:rsid w:val="008F5A4F"/>
    <w:rsid w:val="00A139E7"/>
    <w:rsid w:val="00B7620B"/>
    <w:rsid w:val="00DB56EE"/>
    <w:rsid w:val="00E12008"/>
    <w:rsid w:val="00E34475"/>
    <w:rsid w:val="00E37618"/>
    <w:rsid w:val="00E7509F"/>
    <w:rsid w:val="00EB2DC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4E4F0"/>
  <w15:chartTrackingRefBased/>
  <w15:docId w15:val="{E11271ED-99DD-448A-9DBE-513C34B9B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4D6"/>
  </w:style>
  <w:style w:type="paragraph" w:styleId="Balk1">
    <w:name w:val="heading 1"/>
    <w:basedOn w:val="Normal"/>
    <w:next w:val="Normal"/>
    <w:link w:val="Balk1Char"/>
    <w:uiPriority w:val="9"/>
    <w:qFormat/>
    <w:rsid w:val="00601F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01F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01FF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01FF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01FF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01FF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01FF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01FF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01FF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01FF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01FF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01FF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01FF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01FF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01FF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01FF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01FF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01FFF"/>
    <w:rPr>
      <w:rFonts w:eastAsiaTheme="majorEastAsia" w:cstheme="majorBidi"/>
      <w:color w:val="272727" w:themeColor="text1" w:themeTint="D8"/>
    </w:rPr>
  </w:style>
  <w:style w:type="paragraph" w:styleId="KonuBal">
    <w:name w:val="Title"/>
    <w:basedOn w:val="Normal"/>
    <w:next w:val="Normal"/>
    <w:link w:val="KonuBalChar"/>
    <w:uiPriority w:val="10"/>
    <w:qFormat/>
    <w:rsid w:val="00601F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01FF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01FF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01FF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01FF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01FFF"/>
    <w:rPr>
      <w:i/>
      <w:iCs/>
      <w:color w:val="404040" w:themeColor="text1" w:themeTint="BF"/>
    </w:rPr>
  </w:style>
  <w:style w:type="paragraph" w:styleId="ListeParagraf">
    <w:name w:val="List Paragraph"/>
    <w:basedOn w:val="Normal"/>
    <w:uiPriority w:val="34"/>
    <w:qFormat/>
    <w:rsid w:val="00601FFF"/>
    <w:pPr>
      <w:ind w:left="720"/>
      <w:contextualSpacing/>
    </w:pPr>
  </w:style>
  <w:style w:type="character" w:styleId="GlVurgulama">
    <w:name w:val="Intense Emphasis"/>
    <w:basedOn w:val="VarsaylanParagrafYazTipi"/>
    <w:uiPriority w:val="21"/>
    <w:qFormat/>
    <w:rsid w:val="00601FFF"/>
    <w:rPr>
      <w:i/>
      <w:iCs/>
      <w:color w:val="0F4761" w:themeColor="accent1" w:themeShade="BF"/>
    </w:rPr>
  </w:style>
  <w:style w:type="paragraph" w:styleId="GlAlnt">
    <w:name w:val="Intense Quote"/>
    <w:basedOn w:val="Normal"/>
    <w:next w:val="Normal"/>
    <w:link w:val="GlAlntChar"/>
    <w:uiPriority w:val="30"/>
    <w:qFormat/>
    <w:rsid w:val="00601F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01FFF"/>
    <w:rPr>
      <w:i/>
      <w:iCs/>
      <w:color w:val="0F4761" w:themeColor="accent1" w:themeShade="BF"/>
    </w:rPr>
  </w:style>
  <w:style w:type="character" w:styleId="GlBavuru">
    <w:name w:val="Intense Reference"/>
    <w:basedOn w:val="VarsaylanParagrafYazTipi"/>
    <w:uiPriority w:val="32"/>
    <w:qFormat/>
    <w:rsid w:val="00601F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uketici.ticaret.gov.tr/yayinlar/tuketici-bilgi-rehberi/mesafeli-sozlesmeler-hakkinda-bilgilendirme"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evetoglu.av.tr/tr/yayinlar/elektronik-ticarete-yonelik-kanun-teklifi-kabul-edildi-2022-07-04-083827" TargetMode="External"/><Relationship Id="rId11" Type="http://schemas.openxmlformats.org/officeDocument/2006/relationships/customXml" Target="../customXml/item2.xml"/><Relationship Id="rId5" Type="http://schemas.openxmlformats.org/officeDocument/2006/relationships/hyperlink" Target="https://www.lexpera.com.tr/mevzuat/yonetmelikler/elektronik-ticaret-araci-hizmet-saglayici-ve-elektronik-ticaret-hizmet-saglayicilar-hakkinda-1"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BE2FA2FC88FC524789DD26CCF4374E84" ma:contentTypeVersion="14" ma:contentTypeDescription="Yeni belge oluşturun." ma:contentTypeScope="" ma:versionID="09a22b8d39b58220fd4638cc93f66bab">
  <xsd:schema xmlns:xsd="http://www.w3.org/2001/XMLSchema" xmlns:xs="http://www.w3.org/2001/XMLSchema" xmlns:p="http://schemas.microsoft.com/office/2006/metadata/properties" xmlns:ns2="008e3b87-2b6f-4754-91c5-38b6e71c06dc" xmlns:ns3="a40ce3ce-1b1e-4805-af8a-69f5481a4fc0" targetNamespace="http://schemas.microsoft.com/office/2006/metadata/properties" ma:root="true" ma:fieldsID="e45aa18e1b8a0fa93e9fde8702644634" ns2:_="" ns3:_="">
    <xsd:import namespace="008e3b87-2b6f-4754-91c5-38b6e71c06dc"/>
    <xsd:import namespace="a40ce3ce-1b1e-4805-af8a-69f5481a4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ari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e3b87-2b6f-4754-91c5-38b6e71c0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arih" ma:index="12" nillable="true" ma:displayName="Tarih" ma:format="DateOnly" ma:internalName="Tarih">
      <xsd:simpleType>
        <xsd:restriction base="dms:DateTime"/>
      </xsd:simpleType>
    </xsd:element>
    <xsd:element name="lcf76f155ced4ddcb4097134ff3c332f" ma:index="14" nillable="true" ma:taxonomy="true" ma:internalName="lcf76f155ced4ddcb4097134ff3c332f" ma:taxonomyFieldName="MediaServiceImageTags" ma:displayName="Resim Etiketleri" ma:readOnly="false" ma:fieldId="{5cf76f15-5ced-4ddc-b409-7134ff3c332f}" ma:taxonomyMulti="true" ma:sspId="15108f32-d601-4035-8541-d603673fb50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0ce3ce-1b1e-4805-af8a-69f5481a4fc0" elementFormDefault="qualified">
    <xsd:import namespace="http://schemas.microsoft.com/office/2006/documentManagement/types"/>
    <xsd:import namespace="http://schemas.microsoft.com/office/infopath/2007/PartnerControls"/>
    <xsd:element name="TaxCatchAll" ma:index="15" nillable="true" ma:displayName="Tüm Sınıflandırmayı Yakala Sütunu" ma:hidden="true" ma:list="{6d246884-f67c-478c-9d07-9db6d745e2f5}" ma:internalName="TaxCatchAll" ma:showField="CatchAllData" ma:web="a40ce3ce-1b1e-4805-af8a-69f5481a4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rih xmlns="008e3b87-2b6f-4754-91c5-38b6e71c06dc" xsi:nil="true"/>
    <lcf76f155ced4ddcb4097134ff3c332f xmlns="008e3b87-2b6f-4754-91c5-38b6e71c06dc">
      <Terms xmlns="http://schemas.microsoft.com/office/infopath/2007/PartnerControls"/>
    </lcf76f155ced4ddcb4097134ff3c332f>
    <TaxCatchAll xmlns="a40ce3ce-1b1e-4805-af8a-69f5481a4fc0" xsi:nil="true"/>
  </documentManagement>
</p:properties>
</file>

<file path=customXml/itemProps1.xml><?xml version="1.0" encoding="utf-8"?>
<ds:datastoreItem xmlns:ds="http://schemas.openxmlformats.org/officeDocument/2006/customXml" ds:itemID="{9AFCAE21-0CC7-4439-AB08-49EEE4BEA921}"/>
</file>

<file path=customXml/itemProps2.xml><?xml version="1.0" encoding="utf-8"?>
<ds:datastoreItem xmlns:ds="http://schemas.openxmlformats.org/officeDocument/2006/customXml" ds:itemID="{CA77D005-3359-4FF4-8906-3A27E512D7BA}"/>
</file>

<file path=customXml/itemProps3.xml><?xml version="1.0" encoding="utf-8"?>
<ds:datastoreItem xmlns:ds="http://schemas.openxmlformats.org/officeDocument/2006/customXml" ds:itemID="{C2C4A826-EA2B-4A51-ADED-30524239A116}"/>
</file>

<file path=docProps/app.xml><?xml version="1.0" encoding="utf-8"?>
<Properties xmlns="http://schemas.openxmlformats.org/officeDocument/2006/extended-properties" xmlns:vt="http://schemas.openxmlformats.org/officeDocument/2006/docPropsVTypes">
  <Template>Normal</Template>
  <TotalTime>12</TotalTime>
  <Pages>34</Pages>
  <Words>13852</Words>
  <Characters>102096</Characters>
  <Application>Microsoft Office Word</Application>
  <DocSecurity>0</DocSecurity>
  <Lines>1398</Lines>
  <Paragraphs>343</Paragraphs>
  <ScaleCrop>false</ScaleCrop>
  <Company/>
  <LinksUpToDate>false</LinksUpToDate>
  <CharactersWithSpaces>115605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Pelinsu Tuza</dc:creator>
  <cp:keywords/>
  <dc:description/>
  <cp:lastModifiedBy>Pelinsu Tuza</cp:lastModifiedBy>
  <cp:revision>25</cp:revision>
  <dcterms:created xsi:type="dcterms:W3CDTF">2026-04-17T15:06:00Z</dcterms:created>
  <dcterms:modified xsi:type="dcterms:W3CDTF">2026-04-17T16:14:00Z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0x010100BE2FA2FC88FC524789DD26CCF4374E84</vt:lpwstr>
  </property>
</Properties>
</file>