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BBBF4" w14:textId="43F59A9E" w:rsidR="00FE2572" w:rsidRDefault="00FE2572" w:rsidP="00FE2572">
      <w:pPr>
        <w:tabs>
          <w:tab w:val="left" w:pos="-142"/>
          <w:tab w:val="left" w:pos="284"/>
          <w:tab w:val="num" w:pos="426"/>
        </w:tabs>
        <w:spacing w:after="0"/>
        <w:ind w:hanging="284"/>
        <w:jc w:val="right"/>
        <w:rPr>
          <w:rFonts w:ascii="Times New Roman" w:hAnsi="Times New Roman" w:cs="Times New Roman"/>
          <w:b/>
          <w:bCs/>
          <w:sz w:val="22"/>
          <w:szCs w:val="22"/>
        </w:rPr>
      </w:pPr>
      <w:r>
        <w:rPr>
          <w:rFonts w:ascii="Times New Roman" w:hAnsi="Times New Roman" w:cs="Times New Roman"/>
          <w:b/>
          <w:bCs/>
          <w:sz w:val="22"/>
          <w:szCs w:val="22"/>
        </w:rPr>
        <w:t>KASIM 2025 – ŞUBAT 2026</w:t>
      </w:r>
    </w:p>
    <w:p w14:paraId="6B8C85D6" w14:textId="77777777" w:rsidR="00FE2572" w:rsidRDefault="00FE2572" w:rsidP="00136AB8">
      <w:pPr>
        <w:tabs>
          <w:tab w:val="left" w:pos="-142"/>
          <w:tab w:val="left" w:pos="284"/>
          <w:tab w:val="num" w:pos="426"/>
        </w:tabs>
        <w:spacing w:after="0"/>
        <w:ind w:hanging="284"/>
        <w:jc w:val="center"/>
        <w:rPr>
          <w:rFonts w:ascii="Times New Roman" w:hAnsi="Times New Roman" w:cs="Times New Roman"/>
          <w:b/>
          <w:bCs/>
          <w:sz w:val="22"/>
          <w:szCs w:val="22"/>
        </w:rPr>
      </w:pPr>
    </w:p>
    <w:p w14:paraId="4508E906" w14:textId="70D66278" w:rsidR="00AA1D5E" w:rsidRDefault="00136AB8" w:rsidP="00136AB8">
      <w:pPr>
        <w:tabs>
          <w:tab w:val="left" w:pos="-142"/>
          <w:tab w:val="left" w:pos="284"/>
          <w:tab w:val="num" w:pos="426"/>
        </w:tabs>
        <w:spacing w:after="0"/>
        <w:ind w:hanging="284"/>
        <w:jc w:val="center"/>
        <w:rPr>
          <w:rFonts w:ascii="Times New Roman" w:hAnsi="Times New Roman" w:cs="Times New Roman"/>
          <w:b/>
          <w:bCs/>
          <w:sz w:val="22"/>
          <w:szCs w:val="22"/>
        </w:rPr>
      </w:pPr>
      <w:r w:rsidRPr="00136AB8">
        <w:rPr>
          <w:rFonts w:ascii="Times New Roman" w:hAnsi="Times New Roman" w:cs="Times New Roman"/>
          <w:b/>
          <w:bCs/>
          <w:sz w:val="22"/>
          <w:szCs w:val="22"/>
        </w:rPr>
        <w:t>XVI. ŞİRKET YÖNETİMİ, PAY SAHİPLİĞİ VE KURUMSAL DENGE</w:t>
      </w:r>
    </w:p>
    <w:p w14:paraId="034C7F62" w14:textId="77777777" w:rsidR="00730688" w:rsidRDefault="00730688" w:rsidP="00136AB8">
      <w:pPr>
        <w:tabs>
          <w:tab w:val="left" w:pos="-142"/>
          <w:tab w:val="left" w:pos="284"/>
          <w:tab w:val="num" w:pos="426"/>
        </w:tabs>
        <w:spacing w:after="0"/>
        <w:ind w:hanging="284"/>
        <w:jc w:val="center"/>
        <w:rPr>
          <w:rFonts w:ascii="Times New Roman" w:hAnsi="Times New Roman" w:cs="Times New Roman"/>
          <w:b/>
          <w:bCs/>
          <w:sz w:val="22"/>
          <w:szCs w:val="22"/>
        </w:rPr>
      </w:pPr>
    </w:p>
    <w:p w14:paraId="5875E8B2" w14:textId="77777777" w:rsidR="00730688" w:rsidRPr="00136AB8" w:rsidRDefault="00730688" w:rsidP="00136AB8">
      <w:pPr>
        <w:tabs>
          <w:tab w:val="left" w:pos="-142"/>
          <w:tab w:val="left" w:pos="284"/>
          <w:tab w:val="num" w:pos="426"/>
        </w:tabs>
        <w:spacing w:after="0"/>
        <w:ind w:hanging="284"/>
        <w:jc w:val="center"/>
        <w:rPr>
          <w:rFonts w:ascii="Times New Roman" w:hAnsi="Times New Roman" w:cs="Times New Roman"/>
          <w:b/>
          <w:bCs/>
          <w:sz w:val="22"/>
          <w:szCs w:val="22"/>
        </w:rPr>
      </w:pPr>
    </w:p>
    <w:p w14:paraId="467ACE44" w14:textId="52EC7041" w:rsidR="00173EA3" w:rsidRPr="00EA5FB2" w:rsidRDefault="00136AB8" w:rsidP="00173EA3">
      <w:pPr>
        <w:pStyle w:val="ListeParagraf"/>
        <w:numPr>
          <w:ilvl w:val="0"/>
          <w:numId w:val="1"/>
        </w:numPr>
        <w:spacing w:after="480" w:line="240" w:lineRule="auto"/>
        <w:textAlignment w:val="baseline"/>
        <w:rPr>
          <w:rFonts w:ascii="Times New Roman" w:eastAsia="Times New Roman" w:hAnsi="Times New Roman" w:cs="Times New Roman"/>
          <w:b/>
          <w:bCs/>
          <w:kern w:val="0"/>
          <w:sz w:val="22"/>
          <w:szCs w:val="22"/>
          <w:lang w:eastAsia="tr-TR"/>
          <w14:ligatures w14:val="none"/>
        </w:rPr>
      </w:pPr>
      <w:r w:rsidRPr="00173EA3">
        <w:rPr>
          <w:rFonts w:ascii="Times New Roman" w:eastAsia="Times New Roman" w:hAnsi="Times New Roman" w:cs="Times New Roman"/>
          <w:b/>
          <w:bCs/>
          <w:kern w:val="0"/>
          <w:sz w:val="22"/>
          <w:szCs w:val="22"/>
          <w:lang w:eastAsia="tr-TR"/>
          <w14:ligatures w14:val="none"/>
        </w:rPr>
        <w:t>ŞİRKET ORTAKLAR</w:t>
      </w:r>
      <w:r w:rsidR="00173EA3" w:rsidRPr="00173EA3">
        <w:rPr>
          <w:rFonts w:ascii="Times New Roman" w:eastAsia="Times New Roman" w:hAnsi="Times New Roman" w:cs="Times New Roman"/>
          <w:b/>
          <w:bCs/>
          <w:kern w:val="0"/>
          <w:sz w:val="22"/>
          <w:szCs w:val="22"/>
          <w:lang w:eastAsia="tr-TR"/>
          <w14:ligatures w14:val="none"/>
        </w:rPr>
        <w:t xml:space="preserve">ININ ŞİRKETE BORÇLANMA YASAĞI </w:t>
      </w:r>
    </w:p>
    <w:p w14:paraId="5E909C4E"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6102 sayılı Türk Ticaret Kanunu’nun (TTK) 358. maddesi, anonim şirketlerde pay sahiplerinin şirkete borçlanmalarını sınırlayan bir düzenleme öngörmektedir. Buna göre, anonim şirket ortaklarının şirkete borçlanmaları yalnızca belirli koşullar altında mümkün olup, aksi hâlde yasaktır. TTK m. 358’e göre şirkete borçlanma yasağı anonim şirketler için geçerlidir. Anonim şirketin halka açık veya kapalı olmasının, büyüklüğünün veya tek ortaklı olmasının şirkete borçlanma yasağına tâbi olması açısından herhangi bir önemi bulunmamaktadır.</w:t>
      </w:r>
    </w:p>
    <w:p w14:paraId="6CC9478E"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Ayrıca, TTK’nın 644/1-b maddesine yapılan atıf çerçevesinde, bu yasak limited şirket ortakları için de geçerlidir.</w:t>
      </w:r>
    </w:p>
    <w:p w14:paraId="00CB1005"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TTK 358 uyarınca, şirket pay sahipleri veya diğer bir deyişle ortaklar, şirketten borçlanabilmek için iki şartı bir arada sağlamalıdır:</w:t>
      </w:r>
    </w:p>
    <w:p w14:paraId="093245FE" w14:textId="77777777" w:rsidR="00EA5FB2" w:rsidRPr="0046201D" w:rsidRDefault="00EA5FB2" w:rsidP="00EA5FB2">
      <w:pPr>
        <w:numPr>
          <w:ilvl w:val="0"/>
          <w:numId w:val="17"/>
        </w:numPr>
        <w:jc w:val="both"/>
        <w:rPr>
          <w:rFonts w:ascii="Times New Roman" w:hAnsi="Times New Roman" w:cs="Times New Roman"/>
          <w:sz w:val="22"/>
          <w:szCs w:val="22"/>
        </w:rPr>
      </w:pPr>
      <w:r w:rsidRPr="0046201D">
        <w:rPr>
          <w:rFonts w:ascii="Times New Roman" w:hAnsi="Times New Roman" w:cs="Times New Roman"/>
          <w:sz w:val="22"/>
          <w:szCs w:val="22"/>
        </w:rPr>
        <w:t>Sermaye taahhüdünden doğan ve vadesi gelmiş borçlarını ödemiş olmaları,</w:t>
      </w:r>
    </w:p>
    <w:p w14:paraId="68B3E143" w14:textId="77777777" w:rsidR="00EA5FB2" w:rsidRPr="0046201D" w:rsidRDefault="00EA5FB2" w:rsidP="00EA5FB2">
      <w:pPr>
        <w:numPr>
          <w:ilvl w:val="0"/>
          <w:numId w:val="17"/>
        </w:numPr>
        <w:jc w:val="both"/>
        <w:rPr>
          <w:rFonts w:ascii="Times New Roman" w:hAnsi="Times New Roman" w:cs="Times New Roman"/>
          <w:sz w:val="22"/>
          <w:szCs w:val="22"/>
        </w:rPr>
      </w:pPr>
      <w:r w:rsidRPr="0046201D">
        <w:rPr>
          <w:rFonts w:ascii="Times New Roman" w:hAnsi="Times New Roman" w:cs="Times New Roman"/>
          <w:sz w:val="22"/>
          <w:szCs w:val="22"/>
        </w:rPr>
        <w:t>Şirketin, serbest yedek akçelerle birlikte kârının geçmiş yıl zararlarını karşılayacak düzeyde bulunması.</w:t>
      </w:r>
    </w:p>
    <w:p w14:paraId="57D5B153"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Bu iki koşul birlikte mevcutsa, ortaklar şirkete borçlanabilirler. Aksi takdirde, pay sahiplerinin şirkete borçlanması yasaklanmış olur ve bu yasağın yaptırımı devreye girer.</w:t>
      </w:r>
    </w:p>
    <w:p w14:paraId="3C00A78D"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Hüküm, pay oranı ne olursa olsun tüm ortaklar için geçerlidir ve şirket ortakları arasında görev yapan müdürler hakkında da uygulanır. Buna karşılık, ortakların şirkete alacaklı olması hâlleri bu yasağın kapsamı dışındadır.</w:t>
      </w:r>
    </w:p>
    <w:p w14:paraId="0028A35E"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Önemle belirtmek gerekir ki, TTK’da öngörülen bu şartlar emredici niteliktedir. Bu nedenle, şirket sözleşmesi veya genel kurul kararıyla bu koşulların değiştirilmesi, kaldırılması veya etkisiz hâle getirilmesi mümkün değildir.</w:t>
      </w:r>
    </w:p>
    <w:p w14:paraId="32100A24"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TTK’nın 562/5-b maddesinde, Kanunun 358 inci maddesine aykırı olarak ortaklara borç verenlerin üçyüz günden az olmamak üzere adli para cezasıyla cezalandırılacağı hüküm altına alınmıştır.</w:t>
      </w:r>
    </w:p>
    <w:p w14:paraId="2C61DB60"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6762 sayılı Türk Ticaret Kanunu’nun yürürlükte olduğu dönemde, nakit ihtiyacı olan pay sahipleri ve yöneticiler, faturasız mal alımları, satışları gizleme veya örtülü kâr aktarımı gibi yöntemlerle şirketin malvarlığına erişip şirket kasasını adeta kendi özel hesapları gibi kullanabilmekteydi. Yapılan Kanun değişikliği ile, bu tür uygulamalara imkân veren “ortaklar cari hesabı” sisteminin önüne geçilmesi amaçlanmıştır.</w:t>
      </w:r>
    </w:p>
    <w:p w14:paraId="4129C100"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Pay sahipleri, sermaye taahhüdünden doğan vadesi gelmiş borçlarını ifa etmeden veya şirketin serbest yedek akçelerle birlikte kârı geçmiş yıl zararlarını karşılamayacak düzeyde olunmasına rağmen şirkete borçlanmışlarsa bu borçlanma işlemi; TBK m. 27 ve TTK m. 391/1 ve 1530/1 uyarınca kesin hükümsüzlük yaptırımına tâbi tutulacaktır.</w:t>
      </w:r>
    </w:p>
    <w:p w14:paraId="79DDEFA5"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lastRenderedPageBreak/>
        <w:t>Pay sahibinin tüzel kişi olması hâlinde, tüzel kişi ile onu temsil eden organlar birbirinden bağımsız ve ayrı kişilikler olarak değerlendirildiği için, anonim şirkete borçlanması yasak olan tüzel kişi pay sahibinin ortakları ve yöneticileri, şirketten borçlanma yasağı kapsamında tutulmaz.</w:t>
      </w:r>
    </w:p>
    <w:p w14:paraId="523F7431" w14:textId="77777777" w:rsidR="00EA5FB2" w:rsidRPr="0046201D" w:rsidRDefault="00EA5FB2" w:rsidP="00EA5FB2">
      <w:pPr>
        <w:jc w:val="both"/>
        <w:rPr>
          <w:rFonts w:ascii="Times New Roman" w:hAnsi="Times New Roman" w:cs="Times New Roman"/>
          <w:sz w:val="22"/>
          <w:szCs w:val="22"/>
        </w:rPr>
      </w:pPr>
      <w:r w:rsidRPr="0046201D">
        <w:rPr>
          <w:rFonts w:ascii="Times New Roman" w:hAnsi="Times New Roman" w:cs="Times New Roman"/>
          <w:sz w:val="22"/>
          <w:szCs w:val="22"/>
        </w:rPr>
        <w:t>Sonuç olarak, şirket ortaklarının şirkete borçlanmalarına ilişkin TTK 358 ve 644/1-b maddelerinde öngörülen yasaklar emredici niteliktedir. Pay sahiplerinin, sermaye taahhütlerini yerine getirmeden veya şirketin kâr ve yedek akçelerinin geçmiş yıl zararlarını karşılayamayacak düzeyde olmasına rağmen borçlanmaya girişmemeleri büyük önem taşımaktadır. Aksi hâlde hem şirketin hem de borçlanmayı gerçekleştiren pay sahibinin hukuki ve cezai sorumluluk riski doğacaktır. Tüzel kişi pay sahiplerinde ise, borçlanma yasağı tüzel kişinin kendisi için geçerli olup, tüzel kişiyi temsil eden organların ayrı kişiler olarak bu kapsamda değerlendirilmeyeceği de özellikle göz önünde bulundurulmalıdır.</w:t>
      </w:r>
    </w:p>
    <w:p w14:paraId="2A23F1D0" w14:textId="77777777" w:rsidR="00EA5FB2" w:rsidRDefault="00EA5FB2" w:rsidP="00173EA3">
      <w:pPr>
        <w:spacing w:after="480" w:line="240" w:lineRule="auto"/>
        <w:textAlignment w:val="baseline"/>
        <w:rPr>
          <w:rFonts w:ascii="Times New Roman" w:eastAsia="Times New Roman" w:hAnsi="Times New Roman" w:cs="Times New Roman"/>
          <w:b/>
          <w:bCs/>
          <w:kern w:val="0"/>
          <w:sz w:val="22"/>
          <w:szCs w:val="22"/>
          <w:lang w:eastAsia="tr-TR"/>
          <w14:ligatures w14:val="none"/>
        </w:rPr>
      </w:pPr>
    </w:p>
    <w:p w14:paraId="79A1F59B" w14:textId="79F591E2" w:rsidR="00415182" w:rsidRPr="00173EA3" w:rsidRDefault="00415182" w:rsidP="00415182">
      <w:pPr>
        <w:spacing w:after="480" w:line="240" w:lineRule="auto"/>
        <w:jc w:val="right"/>
        <w:textAlignment w:val="baseline"/>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kern w:val="0"/>
          <w:sz w:val="22"/>
          <w:szCs w:val="22"/>
          <w:lang w:eastAsia="tr-TR"/>
          <w14:ligatures w14:val="none"/>
        </w:rPr>
        <w:t>KASIM 2025</w:t>
      </w:r>
    </w:p>
    <w:p w14:paraId="60D8ECBC" w14:textId="79615B3F" w:rsidR="008D1C67" w:rsidRPr="00173EA3" w:rsidRDefault="006A6EDB" w:rsidP="00173EA3">
      <w:pPr>
        <w:pStyle w:val="ListeParagraf"/>
        <w:numPr>
          <w:ilvl w:val="0"/>
          <w:numId w:val="1"/>
        </w:numPr>
        <w:spacing w:after="480" w:line="240" w:lineRule="auto"/>
        <w:textAlignment w:val="baseline"/>
        <w:rPr>
          <w:rFonts w:ascii="Times New Roman" w:eastAsia="Times New Roman" w:hAnsi="Times New Roman" w:cs="Times New Roman"/>
          <w:b/>
          <w:bCs/>
          <w:kern w:val="0"/>
          <w:sz w:val="22"/>
          <w:szCs w:val="22"/>
          <w:lang w:eastAsia="tr-TR"/>
          <w14:ligatures w14:val="none"/>
        </w:rPr>
      </w:pPr>
      <w:r w:rsidRPr="00173EA3">
        <w:rPr>
          <w:rFonts w:ascii="Times New Roman" w:eastAsia="Times New Roman" w:hAnsi="Times New Roman" w:cs="Times New Roman"/>
          <w:b/>
          <w:bCs/>
          <w:kern w:val="0"/>
          <w:sz w:val="22"/>
          <w:szCs w:val="22"/>
          <w:lang w:eastAsia="tr-TR"/>
          <w14:ligatures w14:val="none"/>
        </w:rPr>
        <w:t xml:space="preserve">KURUMSAL HUKUK SERİSİ </w:t>
      </w:r>
      <w:r w:rsidR="008D1C67" w:rsidRPr="00173EA3">
        <w:rPr>
          <w:rFonts w:ascii="Times New Roman" w:eastAsia="Times New Roman" w:hAnsi="Times New Roman" w:cs="Times New Roman"/>
          <w:b/>
          <w:bCs/>
          <w:kern w:val="0"/>
          <w:sz w:val="22"/>
          <w:szCs w:val="22"/>
          <w:lang w:eastAsia="tr-TR"/>
          <w14:ligatures w14:val="none"/>
        </w:rPr>
        <w:t xml:space="preserve">#2 YETKİSİZ TEMSİL VE SORUMLULUK </w:t>
      </w:r>
    </w:p>
    <w:p w14:paraId="5907F53C" w14:textId="77777777" w:rsidR="008D1C67" w:rsidRDefault="008D1C67" w:rsidP="008D1C67">
      <w:pPr>
        <w:pStyle w:val="ListeParagraf"/>
        <w:tabs>
          <w:tab w:val="left" w:pos="-142"/>
        </w:tabs>
        <w:spacing w:after="480" w:line="240" w:lineRule="auto"/>
        <w:ind w:left="284"/>
        <w:textAlignment w:val="baseline"/>
        <w:rPr>
          <w:rFonts w:ascii="Times New Roman" w:eastAsia="Times New Roman" w:hAnsi="Times New Roman" w:cs="Times New Roman"/>
          <w:kern w:val="0"/>
          <w:sz w:val="22"/>
          <w:szCs w:val="22"/>
          <w:lang w:eastAsia="tr-TR"/>
          <w14:ligatures w14:val="none"/>
        </w:rPr>
      </w:pPr>
    </w:p>
    <w:p w14:paraId="4133017E" w14:textId="77777777" w:rsidR="008D1C67" w:rsidRDefault="008D1C67" w:rsidP="008D1C67">
      <w:pPr>
        <w:pStyle w:val="ListeParagraf"/>
        <w:tabs>
          <w:tab w:val="left" w:pos="-142"/>
        </w:tabs>
        <w:spacing w:after="480" w:line="240" w:lineRule="auto"/>
        <w:ind w:left="284"/>
        <w:textAlignment w:val="baseline"/>
        <w:rPr>
          <w:rFonts w:ascii="Times New Roman" w:eastAsia="Times New Roman" w:hAnsi="Times New Roman" w:cs="Times New Roman"/>
          <w:kern w:val="0"/>
          <w:sz w:val="22"/>
          <w:szCs w:val="22"/>
          <w:lang w:eastAsia="tr-TR"/>
          <w14:ligatures w14:val="none"/>
        </w:rPr>
      </w:pPr>
    </w:p>
    <w:p w14:paraId="0973AABF" w14:textId="2157D27E" w:rsidR="008D1C67" w:rsidRPr="008D1C67" w:rsidRDefault="008D1C67" w:rsidP="008D1C67">
      <w:pPr>
        <w:pStyle w:val="ListeParagraf"/>
        <w:tabs>
          <w:tab w:val="left" w:pos="-142"/>
        </w:tabs>
        <w:spacing w:after="480" w:line="240" w:lineRule="auto"/>
        <w:ind w:left="284"/>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b/>
          <w:bCs/>
          <w:kern w:val="0"/>
          <w:sz w:val="22"/>
          <w:szCs w:val="22"/>
          <w:lang w:eastAsia="tr-TR"/>
          <w14:ligatures w14:val="none"/>
        </w:rPr>
        <w:t>Giriş</w:t>
      </w:r>
    </w:p>
    <w:p w14:paraId="356A104C"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 xml:space="preserve">Ticari yaşamın en önemli dinamiklerinden biri, tüzel kişiliklerin faaliyetlerini temsilcileri aracılığıyla yürütmesidir. Şirketlerde imza ve temsil yetkisi, yalnızca belgeleri imzalama fonksiyonu taşımakla kalmaz; aynı zamanda şirket adına hukuki sonuçlar doğuran işlemler yapabilme ve bu işlemlerden doğan sorumluluğu üstlenme yetkisini de kapsar. Bu nedenle, temsil yetkisinin sınırlarının doğru biçimde belirlenmesi ve </w:t>
      </w:r>
      <w:proofErr w:type="gramStart"/>
      <w:r w:rsidRPr="008D1C67">
        <w:rPr>
          <w:rFonts w:ascii="Times New Roman" w:eastAsia="Times New Roman" w:hAnsi="Times New Roman" w:cs="Times New Roman"/>
          <w:kern w:val="0"/>
          <w:sz w:val="22"/>
          <w:szCs w:val="22"/>
          <w:lang w:eastAsia="tr-TR"/>
          <w14:ligatures w14:val="none"/>
        </w:rPr>
        <w:t>belgelenmesi,</w:t>
      </w:r>
      <w:proofErr w:type="gramEnd"/>
      <w:r w:rsidRPr="008D1C67">
        <w:rPr>
          <w:rFonts w:ascii="Times New Roman" w:eastAsia="Times New Roman" w:hAnsi="Times New Roman" w:cs="Times New Roman"/>
          <w:kern w:val="0"/>
          <w:sz w:val="22"/>
          <w:szCs w:val="22"/>
          <w:lang w:eastAsia="tr-TR"/>
          <w14:ligatures w14:val="none"/>
        </w:rPr>
        <w:t xml:space="preserve"> hem şirketin hem de üçüncü kişilerin hukuki güvenliği açısından büyük önem taşır.</w:t>
      </w:r>
    </w:p>
    <w:p w14:paraId="40FFF2D7"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Ancak uygulamada, zaman zaman temsil yetkisinin aşılması veya hiç bulunmamasına rağmen işlem yapılması gibi durumlarla karşılaşılmaktadır. Bu haller “yetkisiz temsil” olarak adlandırılır ve ciddi hukuki sonuçlar doğurabilir. Bu çalışmada, yetkisiz temsil kavramı, hukuki niteliği ve taraflar bakımından doğurduğu sorumluluklar incelenecektir.</w:t>
      </w:r>
    </w:p>
    <w:p w14:paraId="3613F859" w14:textId="77777777" w:rsidR="008D1C67" w:rsidRPr="008D1C67" w:rsidRDefault="008D1C67" w:rsidP="008D1C67">
      <w:pPr>
        <w:spacing w:after="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8D1C67">
        <w:rPr>
          <w:rFonts w:ascii="Times New Roman" w:eastAsia="Times New Roman" w:hAnsi="Times New Roman" w:cs="Times New Roman"/>
          <w:b/>
          <w:bCs/>
          <w:kern w:val="0"/>
          <w:sz w:val="22"/>
          <w:szCs w:val="22"/>
          <w:lang w:eastAsia="tr-TR"/>
          <w14:ligatures w14:val="none"/>
        </w:rPr>
        <w:t>I. Temsil Yetkisi Kavramı ve Hukuki Önemi</w:t>
      </w:r>
    </w:p>
    <w:p w14:paraId="372B4ACB"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Tüzel kişiliğe sahip şirketler, iradelerini temsilcileri aracılığıyla açıklarlar. Bu temsil yetkisi, şirketin dış dünyayla olan ilişkilerinde geçerlilik kazanmasını ve yükümlülük altına girmesini sağlar. Temsil yetkisi, iç temsil ve dış temsil olarak iki düzlemde değerlendirilebilir. İç temsil, şirket içi karar alma ve yetki devri süreçlerine ilişkin iken; dış temsil, şirketin üçüncü kişilerle kurduğu hukuki ilişkilerde geçerlilik kazanır.</w:t>
      </w:r>
    </w:p>
    <w:p w14:paraId="12E12D22"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Bu bağlamda, imza yetkisi de temsilin en görünür biçimidir. Şirket adına imza atma yetkisi, genellikle imza sirküleri aracılığıyla belgelenir. İmza sirküleri, kimlerin şirketi temsil edeceğini, bu yetkinin sınırlarını ve kullanım biçimini açıkça gösteren resmî bir belgedir. Yetki devri, şirket yönetiminde değişiklik gibi durumlarda güncellenmediğinde veya yanlış düzenlendiğinde, şirketin dış ilişkilerinde “yetkisiz temsil” sorunları ortaya çıkabilir.</w:t>
      </w:r>
    </w:p>
    <w:p w14:paraId="638D2D98" w14:textId="77777777" w:rsidR="008D1C67" w:rsidRPr="008D1C67" w:rsidRDefault="008D1C67" w:rsidP="008D1C67">
      <w:pPr>
        <w:spacing w:after="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8D1C67">
        <w:rPr>
          <w:rFonts w:ascii="Times New Roman" w:eastAsia="Times New Roman" w:hAnsi="Times New Roman" w:cs="Times New Roman"/>
          <w:b/>
          <w:bCs/>
          <w:kern w:val="0"/>
          <w:sz w:val="22"/>
          <w:szCs w:val="22"/>
          <w:lang w:eastAsia="tr-TR"/>
          <w14:ligatures w14:val="none"/>
        </w:rPr>
        <w:t>II. Yetkisiz Temsil Kavramı</w:t>
      </w:r>
    </w:p>
    <w:p w14:paraId="3A1AFB8F"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lastRenderedPageBreak/>
        <w:t>Yetkisiz temsil, bir kişinin herhangi bir temsil yetkisine sahip olmaksızın veya sahip olduğu yetkiyi aşarak başkası adına hukuki işlem yapmasıdır. Türk Borçlar Kanunu (TBK) m.46 ve devamı hükümlerinde bu durum düzenlenmiştir.</w:t>
      </w:r>
    </w:p>
    <w:p w14:paraId="38316089"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 halinde, yapılan hukuki işlem kural olarak askıda hükümsüz nitelik taşır. Yani işlem, temsil olunan tarafından sonradan onaylanmadıkça (icazet verilmedikçe) geçerli hale gelmez. İşlem, onay verilmesi hâlinde baştan itibaren geçerli olur; onay verilmemesi durumunda ise başlangıçtan itibaren hükümsüz sayılır.</w:t>
      </w:r>
    </w:p>
    <w:p w14:paraId="59513B77"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TBK m.46/2 uyarınca, işlem tarafı olan üçüncü kişi, temsil olunana uygun bir süre vererek bu işlemi onaylayıp onaylamayacağını bildirmesini isteyebilir. Temsil olunanın sessiz kalması veya onay vermemesi hâlinde işlem hükümsüz hale gelir. Bu durumda üçüncü kişi, kural olarak temsil olunandan herhangi bir tazminat talep edemez.</w:t>
      </w:r>
    </w:p>
    <w:p w14:paraId="1C6319F3" w14:textId="77777777" w:rsidR="008D1C67" w:rsidRPr="008D1C67" w:rsidRDefault="008D1C67" w:rsidP="008D1C67">
      <w:pPr>
        <w:spacing w:after="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8D1C67">
        <w:rPr>
          <w:rFonts w:ascii="Times New Roman" w:eastAsia="Times New Roman" w:hAnsi="Times New Roman" w:cs="Times New Roman"/>
          <w:b/>
          <w:bCs/>
          <w:kern w:val="0"/>
          <w:sz w:val="22"/>
          <w:szCs w:val="22"/>
          <w:lang w:eastAsia="tr-TR"/>
          <w14:ligatures w14:val="none"/>
        </w:rPr>
        <w:t>III. Üçüncü Kişinin Hukuki Durumu</w:t>
      </w:r>
    </w:p>
    <w:p w14:paraId="20E75153"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 durumunda üçüncü kişi, işlemin onaylanıp onaylanmayacağı konusunda belirsizlik yaşar. Kanun, üçüncü kişinin bu belirsizlik sürecinde korunması için bazı güvenceler öngörmüştür. Eğer temsil olunan, yetkisiz temsilcinin yaptığı işlemi açıkça veya zımnen reddederse, üçüncü kişi bu işlemle bağlı olmaktan kurtulur. Ancak TBK m.46/2 gereği üçüncü kişi, temsil olunana makul bir süre vererek işlemle ilgili kararını bildirmesini isteyebilir.</w:t>
      </w:r>
    </w:p>
    <w:p w14:paraId="6527B305"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Temsil olunan tarafından onay verilmemesi hâlinde, üçüncü kişi esasen temsil olunandan tazminat talep edemez. Bununla birlikte, TBK m.44/2 hükmü uyarınca, temsil olunanın kusurlu davranışı - örneğin yetki belgesini geri almaması, yetkisini kaybetmiş kişilerin temsil yetkisini sürdürmesine göz yumması gibi— hâllerinde culpa in contrahendo (sözleşme görüşmelerinden doğan sorumluluk) esaslarına göre üçüncü kişiye karşı sorumluluğu doğabilir.</w:t>
      </w:r>
    </w:p>
    <w:p w14:paraId="3F0BA6CD" w14:textId="77777777" w:rsidR="008D1C67" w:rsidRPr="008D1C67" w:rsidRDefault="008D1C67" w:rsidP="008D1C67">
      <w:pPr>
        <w:spacing w:after="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8D1C67">
        <w:rPr>
          <w:rFonts w:ascii="Times New Roman" w:eastAsia="Times New Roman" w:hAnsi="Times New Roman" w:cs="Times New Roman"/>
          <w:b/>
          <w:bCs/>
          <w:kern w:val="0"/>
          <w:sz w:val="22"/>
          <w:szCs w:val="22"/>
          <w:lang w:eastAsia="tr-TR"/>
          <w14:ligatures w14:val="none"/>
        </w:rPr>
        <w:t>IV. Yetkisiz Temsilcinin Sorumluluğu</w:t>
      </w:r>
    </w:p>
    <w:p w14:paraId="3D0AD419"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temsilcinin sorumluluğu, culpa in contrahendo ilkesine dayanır. Yetkisiz temsilci, temsil yetkisinin varlığına güven duyan üçüncü kişide bu güveni uyandırmakla, dürüstlük kuralı gereği bir güven ilişkisi yaratmış olur. Bu güvenin boşa çıkması durumunda, üçüncü kişinin uğradığı zararların giderilmesi gerekir.</w:t>
      </w:r>
    </w:p>
    <w:p w14:paraId="6377A3D0"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temsilcinin sorumlu tutulabilmesi için kusur şartı aranmaz; zira kanun, yetkisiz temsilin başlı başına güven ihlali niteliği taşıdığını kabul eder. Ancak TBK m.47/2 hükmü gereği, yetkisiz temsilci kusurlu hareket etmişse, sorumluluğu ağırlaşır ve yalnızca menfi zararları değil, hakkaniyet gerektiriyorsa diğer zararları da tazmin etmekle yükümlü olur.</w:t>
      </w:r>
    </w:p>
    <w:p w14:paraId="7FD44F81"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Bu kapsamda yetkisiz temsilci, üçüncü kişinin işlem yapılmamış olsaydı içinde bulunacağı malvarlığı durumunu yeniden tesis etmek zorundadır. Başka bir ifadeyle, üçüncü kişinin sözleşme yapmaya hazırlık giderleri, kaçırdığı fırsatlar ve yargılama masrafları gibi menfi zararlarını karşılamakla yükümlüdür.</w:t>
      </w:r>
    </w:p>
    <w:p w14:paraId="0EFB0C1D"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Buna karşılık, yetkisiz temsilci, işlem yaptığı anda üçüncü kişinin yetkisizliği bildiğini veya bilmesi gerektiğini ispat ederse, sorumluluktan kurtulabilir (TBK m.47/2).</w:t>
      </w:r>
    </w:p>
    <w:p w14:paraId="500C7EF0" w14:textId="77777777" w:rsidR="008D1C67" w:rsidRPr="008D1C67" w:rsidRDefault="008D1C67" w:rsidP="008D1C67">
      <w:pPr>
        <w:spacing w:after="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8D1C67">
        <w:rPr>
          <w:rFonts w:ascii="Times New Roman" w:eastAsia="Times New Roman" w:hAnsi="Times New Roman" w:cs="Times New Roman"/>
          <w:b/>
          <w:bCs/>
          <w:kern w:val="0"/>
          <w:sz w:val="22"/>
          <w:szCs w:val="22"/>
          <w:lang w:eastAsia="tr-TR"/>
          <w14:ligatures w14:val="none"/>
        </w:rPr>
        <w:t>V. Temsil Olunanın Kusurlu Davranışı ve Sorumluluk Hâlleri</w:t>
      </w:r>
    </w:p>
    <w:p w14:paraId="0A6EA531"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lastRenderedPageBreak/>
        <w:t>Kural olarak, temsil olunan, onay vermediği bir işlemden dolayı ne borç altına girer ne de tazminat ödemekle yükümlüdür. Ancak bazı istisnai hâllerde temsil olunanın da sorumluluğu doğabilir. Şöyle ki, temsil olunanın davranışları üçüncü kişide haklı bir güven yaratmışsa veya yetkisiz temsilin ortaya çıkmasına bizzat sebebiyet vermişse, kusuru oranında sorumlu tutulabilir.</w:t>
      </w:r>
    </w:p>
    <w:p w14:paraId="51C400C5"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Örneğin, temsil olunanın:</w:t>
      </w:r>
    </w:p>
    <w:p w14:paraId="675E79B4" w14:textId="77777777" w:rsidR="008D1C67" w:rsidRPr="008D1C67" w:rsidRDefault="008D1C67" w:rsidP="008D1C67">
      <w:pPr>
        <w:numPr>
          <w:ilvl w:val="0"/>
          <w:numId w:val="2"/>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 belgesini iptal etmesine rağmen üçüncü kişilere bu durumu bildirmemesi,</w:t>
      </w:r>
    </w:p>
    <w:p w14:paraId="2E6FDD10" w14:textId="77777777" w:rsidR="008D1C67" w:rsidRPr="008D1C67" w:rsidRDefault="008D1C67" w:rsidP="008D1C67">
      <w:pPr>
        <w:numPr>
          <w:ilvl w:val="0"/>
          <w:numId w:val="2"/>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temsilcinin yetkisini aştığını bilmesine rağmen sessiz kalması,</w:t>
      </w:r>
    </w:p>
    <w:p w14:paraId="14806D28" w14:textId="77777777" w:rsidR="008D1C67" w:rsidRPr="008D1C67" w:rsidRDefault="008D1C67" w:rsidP="008D1C67">
      <w:pPr>
        <w:numPr>
          <w:ilvl w:val="0"/>
          <w:numId w:val="2"/>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kişiyi fiilen kendi adına işlem yapmaya teşvik etmesi,</w:t>
      </w:r>
    </w:p>
    <w:p w14:paraId="1DE84FCE" w14:textId="77777777" w:rsidR="008D1C67" w:rsidRPr="008D1C67" w:rsidRDefault="008D1C67" w:rsidP="008D1C67">
      <w:pPr>
        <w:numPr>
          <w:ilvl w:val="0"/>
          <w:numId w:val="2"/>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Veya TBK m.66 ve m.116 anlamında çalışma yardımcısı veya yardımcı şahısların fiillerinden doğan zararlarda özen yükümlülüğünü ihmal etmesi</w:t>
      </w:r>
    </w:p>
    <w:p w14:paraId="744A551E"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hâllerinde, temsil olunanın culpa in contrahendo ilkesi uyarınca üçüncü kişiye karşı tazminat sorumluluğu doğabilir.</w:t>
      </w:r>
    </w:p>
    <w:p w14:paraId="62B06472"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 xml:space="preserve">Bununla birlikte, şirketin yetkisiz bir temsilci tarafından imzalanan sözleşmeyi sonradan fiilen ifa etmesi veya sözleşmeden yarar sağlaması hâlinde, artık bu sözleşmenin “yetkisiz temsil” gerekçesiyle hükümsüz olduğu ileri sürülemez. Zira bu durumda şirketin davranışı, Türk Medeni Kanunu’nun 2. maddesi uyarınca dürüstlük ve iyi niyet kurallarıyla bağdaşmayacaktır. Nitekim Yargıtay </w:t>
      </w:r>
      <w:proofErr w:type="gramStart"/>
      <w:r w:rsidRPr="008D1C67">
        <w:rPr>
          <w:rFonts w:ascii="Times New Roman" w:eastAsia="Times New Roman" w:hAnsi="Times New Roman" w:cs="Times New Roman"/>
          <w:kern w:val="0"/>
          <w:sz w:val="22"/>
          <w:szCs w:val="22"/>
          <w:lang w:eastAsia="tr-TR"/>
          <w14:ligatures w14:val="none"/>
        </w:rPr>
        <w:t>da,</w:t>
      </w:r>
      <w:proofErr w:type="gramEnd"/>
      <w:r w:rsidRPr="008D1C67">
        <w:rPr>
          <w:rFonts w:ascii="Times New Roman" w:eastAsia="Times New Roman" w:hAnsi="Times New Roman" w:cs="Times New Roman"/>
          <w:kern w:val="0"/>
          <w:sz w:val="22"/>
          <w:szCs w:val="22"/>
          <w:lang w:eastAsia="tr-TR"/>
          <w14:ligatures w14:val="none"/>
        </w:rPr>
        <w:t xml:space="preserve"> şirketin sözleşmeden fiilen yararlanması veya ifayı kabul etmesi hâlinde, icazet vermemiş olsa dahi, zımni olarak işlemi benimsediğini kabul etmektedir.</w:t>
      </w:r>
    </w:p>
    <w:p w14:paraId="240A4FB1" w14:textId="77777777" w:rsidR="008D1C67" w:rsidRPr="008D1C67" w:rsidRDefault="008D1C67" w:rsidP="008D1C67">
      <w:pPr>
        <w:spacing w:after="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bdr w:val="none" w:sz="0" w:space="0" w:color="auto" w:frame="1"/>
          <w:lang w:eastAsia="tr-TR"/>
          <w14:ligatures w14:val="none"/>
        </w:rPr>
        <w:t xml:space="preserve"> </w:t>
      </w:r>
      <w:r w:rsidRPr="008D1C67">
        <w:rPr>
          <w:rFonts w:ascii="Times New Roman" w:eastAsia="Times New Roman" w:hAnsi="Times New Roman" w:cs="Times New Roman"/>
          <w:b/>
          <w:bCs/>
          <w:kern w:val="0"/>
          <w:sz w:val="22"/>
          <w:szCs w:val="22"/>
          <w:lang w:eastAsia="tr-TR"/>
          <w14:ligatures w14:val="none"/>
        </w:rPr>
        <w:t>VI. Yetkisiz Temsil ve Vekaletsiz İş Görme Arasındaki İlişki</w:t>
      </w:r>
    </w:p>
    <w:p w14:paraId="3AA010D1"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 ve vekaletsiz iş görme kavramları birbirine yakın olmakla birlikte, hukuki dayanakları farklıdır. Türk Borçlar Kanunu’nun 526 ve devamı maddelerinde düzenlenen vekaletsiz iş görme, bir kimsenin başkasının menfaatine veya kendi menfaatine, onun bilgisi ve rızası olmaksızın iş görmesini ifade eder. Aralarında herhangi bir sözleşme yahut vekalet ilişkisi olmaksızın iş sahibinin iradesine ve menfaatine uygun olacak şekilde işinin görülmesi vekaletsiz iş görme kapsamındadır. Yetkisiz temsil ise, bir kimsenin yetkisi olmadan başkası adına yetkiliymiş gibi hukuki işlem yapmasıdır. Bu nedenle, yetkisiz imza atan bir kişi, eğer işlem sonucunda şirketin yararına bir iş görmüşse ve bu işlem şirketin menfaatine sonuç doğurmuşsa, TBK m.526 uyarınca “vekaletsiz iş görme” hükümlerine göre sorumlu tutulabilir.</w:t>
      </w:r>
    </w:p>
    <w:p w14:paraId="29B201C3"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Bu durumda, yetkisiz imza atan kişi, yaptığı işlemle şirket yararına bir sonuç doğurduysa, ifa edilen iş dolayısıyla yaptığı masrafları ve zararlarını isteyebilir; buna karşılık işlem şirketin zararına sonuçlanmışsa, şirket de TBK m.530 uyarınca uğradığı zararın tazminini talep edebilir. Vekaletsiz iş görme hükümleri uyarınca; İş, iş iş sahibinin menfaatine yapılmışsa; iş sahibi iş görenin, durumun gereğine göre zorunlu ve yararlı bulunan bütün masrafları faiziyle ödemek ve gördüğü iş dolayısıyla üstlendiği edimleri ifa etmek ve hâkimin takdir edeceği zararı gidermekle yükümlüdür. İş görenin ve iş sahibinin işten umduğu sonuç gerçekleşmemiş olsa bile, işi yaparken gereken özeni göstermiş olan iş gören yukarıda sayılan masrafları ve diğer yararları isteyebilir.</w:t>
      </w:r>
    </w:p>
    <w:p w14:paraId="2CFA5588"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 xml:space="preserve">Eğer iş iş görenin menfaatine yapılmışsa; iş sahibi kendi menfaatine yapılmamış olsa bile, iş görmeden doğan faydaları edinme hakkına sahiptir; ancak zenginleştiği ölçüde, iş görenin masraflarını ödemek ve giriştiği borçlardan onu kurtarmakla yükümlüdür. Dolayısıyla, her yetkisiz temsil eylemi aynı zamanda bir vekaletsiz iş görme teşkil etmese </w:t>
      </w:r>
      <w:proofErr w:type="gramStart"/>
      <w:r w:rsidRPr="008D1C67">
        <w:rPr>
          <w:rFonts w:ascii="Times New Roman" w:eastAsia="Times New Roman" w:hAnsi="Times New Roman" w:cs="Times New Roman"/>
          <w:kern w:val="0"/>
          <w:sz w:val="22"/>
          <w:szCs w:val="22"/>
          <w:lang w:eastAsia="tr-TR"/>
          <w14:ligatures w14:val="none"/>
        </w:rPr>
        <w:t>de,</w:t>
      </w:r>
      <w:proofErr w:type="gramEnd"/>
      <w:r w:rsidRPr="008D1C67">
        <w:rPr>
          <w:rFonts w:ascii="Times New Roman" w:eastAsia="Times New Roman" w:hAnsi="Times New Roman" w:cs="Times New Roman"/>
          <w:kern w:val="0"/>
          <w:sz w:val="22"/>
          <w:szCs w:val="22"/>
          <w:lang w:eastAsia="tr-TR"/>
          <w14:ligatures w14:val="none"/>
        </w:rPr>
        <w:t xml:space="preserve"> somut olayın niteliğine göre iki kurumun kesiştiği durumlarda temsilcinin sorumluluğu vekaletsiz iş görme esaslarına göre de değerlendirilebilir.</w:t>
      </w:r>
    </w:p>
    <w:p w14:paraId="1AB00505" w14:textId="77777777" w:rsidR="008D1C67" w:rsidRPr="008D1C67" w:rsidRDefault="008D1C67" w:rsidP="008D1C67">
      <w:pPr>
        <w:spacing w:after="240" w:line="240" w:lineRule="auto"/>
        <w:textAlignment w:val="baseline"/>
        <w:outlineLvl w:val="2"/>
        <w:rPr>
          <w:rFonts w:ascii="Times New Roman" w:eastAsia="Times New Roman" w:hAnsi="Times New Roman" w:cs="Times New Roman"/>
          <w:b/>
          <w:bCs/>
          <w:kern w:val="0"/>
          <w:sz w:val="22"/>
          <w:szCs w:val="22"/>
          <w:lang w:eastAsia="tr-TR"/>
          <w14:ligatures w14:val="none"/>
        </w:rPr>
      </w:pPr>
      <w:r w:rsidRPr="008D1C67">
        <w:rPr>
          <w:rFonts w:ascii="Times New Roman" w:eastAsia="Times New Roman" w:hAnsi="Times New Roman" w:cs="Times New Roman"/>
          <w:b/>
          <w:bCs/>
          <w:kern w:val="0"/>
          <w:sz w:val="22"/>
          <w:szCs w:val="22"/>
          <w:lang w:eastAsia="tr-TR"/>
          <w14:ligatures w14:val="none"/>
        </w:rPr>
        <w:lastRenderedPageBreak/>
        <w:t>Sonuç</w:t>
      </w:r>
    </w:p>
    <w:p w14:paraId="6DBD56A6" w14:textId="77777777" w:rsidR="008D1C67" w:rsidRP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Yetkisiz temsil, şirketler hukuku ve borçlar hukuku bakımından ciddi sonuçlar doğuran bir konudur. Temsil yetkisinin bulunmadığı veya aşıldığı hallerde yapılan işlemler, taraflar bakımından askıda hükümsüzdür ve ancak temsil olunanın icazetiyle geçerlilik kazanabilir. Bu nedenle şirketler, temsil ve imza yetkilerini açık, güncel ve belgelenmiş biçimde düzenlemelidir. Aksi halde, yetkisiz temsil yoluyla yapılan işlemler hem şirketin hem üçüncü kişilerin zararına sonuçlar doğurabilir.</w:t>
      </w:r>
    </w:p>
    <w:p w14:paraId="53548AAA" w14:textId="3F90C484" w:rsidR="008D1C67" w:rsidRDefault="008D1C67" w:rsidP="008D1C67">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8D1C67">
        <w:rPr>
          <w:rFonts w:ascii="Times New Roman" w:eastAsia="Times New Roman" w:hAnsi="Times New Roman" w:cs="Times New Roman"/>
          <w:kern w:val="0"/>
          <w:sz w:val="22"/>
          <w:szCs w:val="22"/>
          <w:lang w:eastAsia="tr-TR"/>
          <w14:ligatures w14:val="none"/>
        </w:rPr>
        <w:t>Sonuç olarak, temsil kurumunun güven esasına dayandığı unutulmamalı; temsil olunan, temsilci ve üçüncü kişi arasındaki menfaat dengesi, dürüstlük kuralı ve özen yükümlülüğü çerçevesinde korunmalıdır. Yetkisiz temsilin hem temsilci hem de temsil olunan bakımından doğurabileceği sorumluluklar, dikkatli bir hukuki planlama ve etkin bir kurumsal yönetim anlayışıyla önlenebilir.</w:t>
      </w:r>
    </w:p>
    <w:p w14:paraId="5175137F" w14:textId="60E5DED9" w:rsidR="008D1C67" w:rsidRPr="00415182" w:rsidRDefault="00415182" w:rsidP="00415182">
      <w:pPr>
        <w:spacing w:after="480" w:line="240" w:lineRule="auto"/>
        <w:jc w:val="right"/>
        <w:textAlignment w:val="baseline"/>
        <w:rPr>
          <w:rFonts w:ascii="Times New Roman" w:eastAsia="Times New Roman" w:hAnsi="Times New Roman" w:cs="Times New Roman"/>
          <w:b/>
          <w:bCs/>
          <w:kern w:val="0"/>
          <w:sz w:val="22"/>
          <w:szCs w:val="22"/>
          <w:lang w:eastAsia="tr-TR"/>
          <w14:ligatures w14:val="none"/>
        </w:rPr>
      </w:pPr>
      <w:r w:rsidRPr="00415182">
        <w:rPr>
          <w:rFonts w:ascii="Times New Roman" w:eastAsia="Times New Roman" w:hAnsi="Times New Roman" w:cs="Times New Roman"/>
          <w:b/>
          <w:bCs/>
          <w:kern w:val="0"/>
          <w:sz w:val="22"/>
          <w:szCs w:val="22"/>
          <w:lang w:eastAsia="tr-TR"/>
          <w14:ligatures w14:val="none"/>
        </w:rPr>
        <w:t>ARALIK 2025</w:t>
      </w:r>
    </w:p>
    <w:p w14:paraId="2D30045A" w14:textId="273666FA" w:rsidR="009C3E27" w:rsidRPr="00DE5F78" w:rsidRDefault="00C21DB9" w:rsidP="00C21DB9">
      <w:pPr>
        <w:pStyle w:val="ListeParagraf"/>
        <w:numPr>
          <w:ilvl w:val="0"/>
          <w:numId w:val="1"/>
        </w:numPr>
        <w:tabs>
          <w:tab w:val="clear" w:pos="720"/>
          <w:tab w:val="num" w:pos="360"/>
        </w:tabs>
        <w:spacing w:after="480" w:line="240" w:lineRule="auto"/>
        <w:ind w:left="0" w:hanging="284"/>
        <w:textAlignment w:val="baseline"/>
        <w:rPr>
          <w:rFonts w:ascii="Times New Roman" w:eastAsia="Times New Roman" w:hAnsi="Times New Roman" w:cs="Times New Roman"/>
          <w:b/>
          <w:bCs/>
          <w:kern w:val="0"/>
          <w:sz w:val="22"/>
          <w:szCs w:val="22"/>
          <w:lang w:eastAsia="tr-TR"/>
          <w14:ligatures w14:val="none"/>
        </w:rPr>
      </w:pPr>
      <w:r w:rsidRPr="00DE5F78">
        <w:rPr>
          <w:rFonts w:ascii="Times New Roman" w:eastAsia="Times New Roman" w:hAnsi="Times New Roman" w:cs="Times New Roman"/>
          <w:b/>
          <w:bCs/>
          <w:kern w:val="0"/>
          <w:sz w:val="22"/>
          <w:szCs w:val="22"/>
          <w:lang w:eastAsia="tr-TR"/>
          <w14:ligatures w14:val="none"/>
        </w:rPr>
        <w:t xml:space="preserve">KURUMSAL HUKUK SERİSİ #3 ŞİRKETLERDE İÇ DENETİM SÜREÇLERİNİN HUKUKİ DEĞERLENDİRMESİ </w:t>
      </w:r>
    </w:p>
    <w:p w14:paraId="64325817" w14:textId="77777777" w:rsidR="009C3E27" w:rsidRPr="00DE5F78" w:rsidRDefault="009C3E27" w:rsidP="009C3E27">
      <w:pPr>
        <w:pStyle w:val="ember-view"/>
        <w:spacing w:before="0" w:beforeAutospacing="0" w:after="0" w:afterAutospacing="0"/>
        <w:textAlignment w:val="baseline"/>
        <w:rPr>
          <w:sz w:val="22"/>
          <w:szCs w:val="22"/>
        </w:rPr>
      </w:pPr>
      <w:r w:rsidRPr="00DE5F78">
        <w:rPr>
          <w:rStyle w:val="Gl"/>
          <w:rFonts w:eastAsiaTheme="majorEastAsia"/>
          <w:sz w:val="22"/>
          <w:szCs w:val="22"/>
          <w:bdr w:val="none" w:sz="0" w:space="0" w:color="auto" w:frame="1"/>
        </w:rPr>
        <w:t>I- İç Denetim ve Kurumsal Yönetim</w:t>
      </w:r>
    </w:p>
    <w:p w14:paraId="7A6A5413"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Günümüzde iç denetim ve iç kontrol mekanizmaları, şirket yönetiminde etkinlik ve sürdürülebilirliğin temel unsurlarından biri haline gelmiştir. Bu sistemler yalnızca yasal yükümlülüklerin yerine getirilmesine hizmet etmekle kalmayıp, aynı zamanda kurumların genel performansını, şeffaflığını ve risk yönetimi kabiliyetini güçlendirmektedir. Etkin bir iç denetim yapısının oluşturulması, işletmelerin kaynaklarını verimli kullanmasını, finansal raporlamada doğruluğu artırmasını ve olası operasyonel ya da stratejik riskleri daha sağlıklı yönetmesini sağlar. Bu bağlamda, iç denetim, kurumsal hedeflere ulaşmada yönetim kontrolü niteliği taşıyan tamamlayıcı bir unsur olarak öne çıkar.</w:t>
      </w:r>
    </w:p>
    <w:p w14:paraId="5C28686B" w14:textId="77777777" w:rsidR="009C3E27" w:rsidRPr="00DE5F78" w:rsidRDefault="009C3E27" w:rsidP="009C3E27">
      <w:pPr>
        <w:pStyle w:val="ember-view"/>
        <w:spacing w:before="0" w:beforeAutospacing="0" w:after="0" w:afterAutospacing="0"/>
        <w:textAlignment w:val="baseline"/>
        <w:rPr>
          <w:sz w:val="22"/>
          <w:szCs w:val="22"/>
        </w:rPr>
      </w:pPr>
      <w:r w:rsidRPr="00DE5F78">
        <w:rPr>
          <w:rStyle w:val="Gl"/>
          <w:rFonts w:eastAsiaTheme="majorEastAsia"/>
          <w:sz w:val="22"/>
          <w:szCs w:val="22"/>
          <w:bdr w:val="none" w:sz="0" w:space="0" w:color="auto" w:frame="1"/>
        </w:rPr>
        <w:t>I.I İç Denetimin Temel Fonksiyonları</w:t>
      </w:r>
    </w:p>
    <w:p w14:paraId="153AB31B"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İç denetimin temel işlevleri; işletmenin varlığını korumak, doğru ve güvenilir bilgi akışını sağlamak, faaliyetlerin yasal düzenlemelere, şirket politikalarına ve iç prosedürlere uygunluğunu temin etmektir. Bu açıdan bakıldığında iç denetim, bir denetim mekanizması olmanın ötesinde, şirketin dinamik yapısını yönlendiren ve stratejik hedeflere ulaşılmasını kolaylaştıran bir rehberlik fonksiyonuna da sahiptir.</w:t>
      </w:r>
    </w:p>
    <w:p w14:paraId="07F5CB4F" w14:textId="77777777" w:rsidR="009C3E27" w:rsidRPr="00DE5F78" w:rsidRDefault="009C3E27" w:rsidP="009C3E27">
      <w:pPr>
        <w:pStyle w:val="ember-view"/>
        <w:spacing w:before="0" w:beforeAutospacing="0" w:after="0" w:afterAutospacing="0"/>
        <w:textAlignment w:val="baseline"/>
        <w:rPr>
          <w:sz w:val="22"/>
          <w:szCs w:val="22"/>
        </w:rPr>
      </w:pPr>
      <w:r w:rsidRPr="00DE5F78">
        <w:rPr>
          <w:rStyle w:val="Gl"/>
          <w:rFonts w:eastAsiaTheme="majorEastAsia"/>
          <w:sz w:val="22"/>
          <w:szCs w:val="22"/>
          <w:bdr w:val="none" w:sz="0" w:space="0" w:color="auto" w:frame="1"/>
        </w:rPr>
        <w:t>II- Türk Ticaret Kanunu ve İç Denetim</w:t>
      </w:r>
    </w:p>
    <w:p w14:paraId="7B854786" w14:textId="77777777" w:rsidR="009C3E27" w:rsidRDefault="009C3E27" w:rsidP="009C3E27">
      <w:pPr>
        <w:pStyle w:val="ember-view"/>
        <w:spacing w:before="0" w:beforeAutospacing="0" w:after="0" w:afterAutospacing="0"/>
        <w:textAlignment w:val="baseline"/>
        <w:rPr>
          <w:sz w:val="22"/>
          <w:szCs w:val="22"/>
        </w:rPr>
      </w:pPr>
      <w:r w:rsidRPr="00DE5F78">
        <w:rPr>
          <w:sz w:val="22"/>
          <w:szCs w:val="22"/>
        </w:rPr>
        <w:t>Türk Ticaret Kanunu (“</w:t>
      </w:r>
      <w:r w:rsidRPr="00DE5F78">
        <w:rPr>
          <w:rStyle w:val="Gl"/>
          <w:rFonts w:eastAsiaTheme="majorEastAsia"/>
          <w:sz w:val="22"/>
          <w:szCs w:val="22"/>
          <w:bdr w:val="none" w:sz="0" w:space="0" w:color="auto" w:frame="1"/>
        </w:rPr>
        <w:t>TTK</w:t>
      </w:r>
      <w:r w:rsidRPr="00DE5F78">
        <w:rPr>
          <w:sz w:val="22"/>
          <w:szCs w:val="22"/>
        </w:rPr>
        <w:t xml:space="preserve">”) doğrudan iç denetim sisteminin kurulmasına ilişkin açık bir düzenleme getirmemekle birlikte, bazı maddelerinde iç kontrol ve risk yönetimi kavramlarına dolaylı olarak atıf yapmaktadır. TTK’nın gerekçesi incelendiğinde, kurumsal yönetim ilkeleri ile iç kontrol sistemine verilen önemin altı çizilmekte, risk yönetiminin hukuki bir çerçeveye oturtulması suretiyle iç denetim mekanizmasına da zımni bir dayanak oluşturulmaktadır. Her ne kadar kanunda iç kontrol sisteminin kapsamı veya risk yönetimi ile fonksiyonel bağlantısına ilişkin açık bir açıklama bulunmasa </w:t>
      </w:r>
      <w:proofErr w:type="gramStart"/>
      <w:r w:rsidRPr="00DE5F78">
        <w:rPr>
          <w:sz w:val="22"/>
          <w:szCs w:val="22"/>
        </w:rPr>
        <w:t>da,</w:t>
      </w:r>
      <w:proofErr w:type="gramEnd"/>
      <w:r w:rsidRPr="00DE5F78">
        <w:rPr>
          <w:sz w:val="22"/>
          <w:szCs w:val="22"/>
        </w:rPr>
        <w:t xml:space="preserve"> etkin bir risk yönetiminin gerçekleştirilebilmesi için iç kontrol mekanizmasının varlığı zorunluluk arz etmektedir.</w:t>
      </w:r>
    </w:p>
    <w:p w14:paraId="404B7B30" w14:textId="77777777" w:rsidR="00EA5FB2" w:rsidRPr="00DE5F78" w:rsidRDefault="00EA5FB2" w:rsidP="009C3E27">
      <w:pPr>
        <w:pStyle w:val="ember-view"/>
        <w:spacing w:before="0" w:beforeAutospacing="0" w:after="0" w:afterAutospacing="0"/>
        <w:textAlignment w:val="baseline"/>
        <w:rPr>
          <w:sz w:val="22"/>
          <w:szCs w:val="22"/>
        </w:rPr>
      </w:pPr>
    </w:p>
    <w:p w14:paraId="4315D7DD" w14:textId="77777777" w:rsidR="009C3E27" w:rsidRPr="00DE5F78" w:rsidRDefault="009C3E27" w:rsidP="009C3E27">
      <w:pPr>
        <w:pStyle w:val="ember-view"/>
        <w:spacing w:before="0" w:beforeAutospacing="0" w:after="0" w:afterAutospacing="0"/>
        <w:textAlignment w:val="baseline"/>
        <w:rPr>
          <w:sz w:val="22"/>
          <w:szCs w:val="22"/>
        </w:rPr>
      </w:pPr>
      <w:r w:rsidRPr="00DE5F78">
        <w:rPr>
          <w:rStyle w:val="Gl"/>
          <w:rFonts w:eastAsiaTheme="majorEastAsia"/>
          <w:sz w:val="22"/>
          <w:szCs w:val="22"/>
          <w:bdr w:val="none" w:sz="0" w:space="0" w:color="auto" w:frame="1"/>
        </w:rPr>
        <w:t>II.I Yönetim Kurulu ve İç Denetim Fonksiyonu</w:t>
      </w:r>
    </w:p>
    <w:p w14:paraId="3807209D"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Yeni TTK’nın 366. maddesinin ikinci fıkrasında, yönetim kuruluna işlerin gidişatını izlemek, raporlar hazırlamak ve kararların uygulanmasını sağlamak amacıyla – içlerinde yönetim kurulu üyelerinin de bulunabileceği – komiteler ve komisyonlar kurma yetkisi tanınmıştır. Bu hüküm, iç denetim fonksiyonunun yönetimsel bir görev olarak önemini ortaya koymaktadır.</w:t>
      </w:r>
    </w:p>
    <w:p w14:paraId="047AED06"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lastRenderedPageBreak/>
        <w:t>Ayrıca, TTK’nın 375. maddesinin 1/c bendinde, “muhasebe, finans denetimi ve şirket yönetiminin gerektirdiği ölçüde finansal planlama için gerekli düzenin kurulması” yönetim kurulunun devredilemez ve vazgeçilemez görevleri arasında sayılmıştır. Bu maddenin gerekçesi incelendiğinde, burada bahsedilen “finans denetimi” kavramının aslında iç denetimi de kapsadığı görülmektedir. Gerekçede, şirket faaliyetlerinin denetlenmesi için bir iç denetim sisteminin ve buna ilişkin örgütlenmenin bulunması gerektiği belirtilmiştir. Burada “iç denetim sistemi” kavramı “iç kontrol mekanizması” ile, bu yapıyı yöneten örgüt ise “iç denetim birimi” ile örtüşmektedir.</w:t>
      </w:r>
    </w:p>
    <w:p w14:paraId="7AE3A551"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Aynı maddenin (e) bendinde ise “yönetimle görevli kişilerin kanunlara, esas sözleşmeye, iç yönergelere ve yönetim kurulunun yazılı talimatlarına uygun hareket edip etmediklerinin üst gözetimi” yönetim kurulunun devredilemez görevleri arasında sayılmıştır. Böylece yönetim kurulunun denetim sorumluluğu, yalnızca finansal denetimle sınırlı kalmayıp daha geniş bir uygulama alanına yayılmıştır. Ancak gerekçede, “üst gözetim” kavramının bir kontrol ve denetim faaliyeti anlamına gelmediği, bunun yönetim süreçlerinin akışının izlenmesine ilişkin olduğu ifade edilmiştir.</w:t>
      </w:r>
    </w:p>
    <w:p w14:paraId="0A49FFBA"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Bu düzenlemeler çerçevesinde, yönetim kurulunun şirketin farklı işlevsel alanlarını (örneğin; insan kaynakları, üretim, satış, satın alma, planlama vb.) doğrudan denetleme yetkisine sahip olmamakla birlikte, bu süreçlerin doğru yönetilmesinden doğan sonuçlardan sorumluluğunun devam ettiği açıktır. Dolayısıyla, TTK’nın 375. maddesi ve gerekçesi birlikte değerlendirildiğinde, sermaye şirketlerinde iç denetim sisteminin varlığının hukuken bir ihtiyaç olduğu görülmektedir.</w:t>
      </w:r>
    </w:p>
    <w:p w14:paraId="53E43A3E"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Bununla birlikte, yönetim kurulu üyeleri iç denetim sistemini kurmakla yükümlü olmakla beraber, yalnızca “gerekli kişileri atadım, dolayısıyla sorumluluğum ortadan kalktı” savunmasını ileri süremezler. TTK’nın 553. maddesi uyarınca, yönetim kurulu üyeleri görevlerini kanuna, esas sözleşmeye ve dürüstlük kuralına aykırı biçimde ihmal ettikleri takdirde hem şirkete hem pay sahiplerine hem de alacaklılara karşı şahsen sorumlu tutulabilirler.</w:t>
      </w:r>
    </w:p>
    <w:p w14:paraId="759B34C9"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Yargıtay da yerleşik içtihatlarında, yönetim kurulunun denetim sorumluluğunun yalnızca atama veya görev devri ile ortadan kalkmayacağını; yönetim kurulu üyelerinin, devrettikleri görevleri üst gözetim yükümlülüğü kapsamında makul bir özenle izlemek zorunda olduklarını vurgulamaktadır</w:t>
      </w:r>
    </w:p>
    <w:p w14:paraId="5E45022C"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Dolayısıyla, iç denetim fonksiyonunun etkin biçimde işletilmesi, yalnızca bir organizasyonel tercih değil, yönetim kurulunun hukuki sorumluluğunu doğrudan etkileyen bir yönetim yükümlülüğüdür.</w:t>
      </w:r>
    </w:p>
    <w:p w14:paraId="18713544" w14:textId="77777777" w:rsidR="009C3E27" w:rsidRPr="00DE5F78" w:rsidRDefault="009C3E27" w:rsidP="009C3E27">
      <w:pPr>
        <w:pStyle w:val="ember-view"/>
        <w:spacing w:before="0" w:beforeAutospacing="0" w:after="0" w:afterAutospacing="0"/>
        <w:textAlignment w:val="baseline"/>
        <w:rPr>
          <w:sz w:val="22"/>
          <w:szCs w:val="22"/>
        </w:rPr>
      </w:pPr>
      <w:r w:rsidRPr="00DE5F78">
        <w:rPr>
          <w:rStyle w:val="Gl"/>
          <w:rFonts w:eastAsiaTheme="majorEastAsia"/>
          <w:sz w:val="22"/>
          <w:szCs w:val="22"/>
          <w:bdr w:val="none" w:sz="0" w:space="0" w:color="auto" w:frame="1"/>
        </w:rPr>
        <w:t>III- Sonuç</w:t>
      </w:r>
    </w:p>
    <w:p w14:paraId="4A153F07" w14:textId="77777777" w:rsidR="009C3E27" w:rsidRPr="00DE5F78" w:rsidRDefault="009C3E27" w:rsidP="009C3E27">
      <w:pPr>
        <w:pStyle w:val="ember-view"/>
        <w:spacing w:before="0" w:beforeAutospacing="0" w:after="480" w:afterAutospacing="0"/>
        <w:textAlignment w:val="baseline"/>
        <w:rPr>
          <w:sz w:val="22"/>
          <w:szCs w:val="22"/>
        </w:rPr>
      </w:pPr>
      <w:r w:rsidRPr="00DE5F78">
        <w:rPr>
          <w:sz w:val="22"/>
          <w:szCs w:val="22"/>
        </w:rPr>
        <w:t>Sonuç olarak, iç denetim mekanizmaları yalnızca finansal doğruluğu sağlamakla kalmayıp, şirketlerin operasyonel ve stratejik risklerini yönetmelerine, kurumsal şeffaflığı artırmalarına ve sürdürülebilir büyümeyi desteklemelerine hizmet etmektedir. Türk Ticaret Kanunu çerçevesinde yönetim kuruluna verilen görev ve sorumluluklar, iç denetim sistemlerinin kurulmasını ve etkin biçimde işletilmesini dolaylı olarak zorunlu kılmaktadır. Bu nedenle, şirketler için güçlü bir iç denetim yapısının oluşturulması, hukuki yükümlülüklerin ötesinde, kurumsal yönetim ve risk yönetimi açısından kritik öneme sahiptir.</w:t>
      </w:r>
    </w:p>
    <w:p w14:paraId="6C27604B" w14:textId="77777777" w:rsidR="00435DD4" w:rsidRDefault="00435DD4" w:rsidP="00435DD4">
      <w:pPr>
        <w:tabs>
          <w:tab w:val="left" w:pos="-142"/>
          <w:tab w:val="left" w:pos="284"/>
          <w:tab w:val="num" w:pos="426"/>
        </w:tabs>
        <w:spacing w:after="0"/>
        <w:jc w:val="both"/>
        <w:rPr>
          <w:rFonts w:ascii="Times New Roman" w:hAnsi="Times New Roman" w:cs="Times New Roman"/>
          <w:sz w:val="22"/>
          <w:szCs w:val="22"/>
        </w:rPr>
      </w:pPr>
    </w:p>
    <w:p w14:paraId="47209D67" w14:textId="77777777" w:rsidR="00DE5F78" w:rsidRDefault="00DE5F78" w:rsidP="00435DD4">
      <w:pPr>
        <w:tabs>
          <w:tab w:val="left" w:pos="-142"/>
          <w:tab w:val="left" w:pos="284"/>
          <w:tab w:val="num" w:pos="426"/>
        </w:tabs>
        <w:spacing w:after="0"/>
        <w:jc w:val="both"/>
        <w:rPr>
          <w:rFonts w:ascii="Times New Roman" w:hAnsi="Times New Roman" w:cs="Times New Roman"/>
          <w:sz w:val="22"/>
          <w:szCs w:val="22"/>
        </w:rPr>
      </w:pPr>
    </w:p>
    <w:p w14:paraId="37BA3403" w14:textId="77777777" w:rsidR="00DE5F78" w:rsidRDefault="00DE5F78" w:rsidP="00435DD4">
      <w:pPr>
        <w:tabs>
          <w:tab w:val="left" w:pos="-142"/>
          <w:tab w:val="left" w:pos="284"/>
          <w:tab w:val="num" w:pos="426"/>
        </w:tabs>
        <w:spacing w:after="0"/>
        <w:jc w:val="both"/>
        <w:rPr>
          <w:rFonts w:ascii="Times New Roman" w:hAnsi="Times New Roman" w:cs="Times New Roman"/>
          <w:sz w:val="22"/>
          <w:szCs w:val="22"/>
        </w:rPr>
      </w:pPr>
    </w:p>
    <w:p w14:paraId="69FB9923" w14:textId="77777777" w:rsidR="00DE5F78" w:rsidRDefault="00DE5F78" w:rsidP="00435DD4">
      <w:pPr>
        <w:tabs>
          <w:tab w:val="left" w:pos="-142"/>
          <w:tab w:val="left" w:pos="284"/>
          <w:tab w:val="num" w:pos="426"/>
        </w:tabs>
        <w:spacing w:after="0"/>
        <w:jc w:val="both"/>
        <w:rPr>
          <w:rFonts w:ascii="Times New Roman" w:hAnsi="Times New Roman" w:cs="Times New Roman"/>
          <w:sz w:val="22"/>
          <w:szCs w:val="22"/>
        </w:rPr>
      </w:pPr>
    </w:p>
    <w:p w14:paraId="3FECD96D" w14:textId="77777777" w:rsidR="00DE5F78" w:rsidRDefault="00DE5F78" w:rsidP="00435DD4">
      <w:pPr>
        <w:tabs>
          <w:tab w:val="left" w:pos="-142"/>
          <w:tab w:val="left" w:pos="284"/>
          <w:tab w:val="num" w:pos="426"/>
        </w:tabs>
        <w:spacing w:after="0"/>
        <w:jc w:val="both"/>
        <w:rPr>
          <w:rFonts w:ascii="Times New Roman" w:hAnsi="Times New Roman" w:cs="Times New Roman"/>
          <w:sz w:val="22"/>
          <w:szCs w:val="22"/>
        </w:rPr>
      </w:pPr>
    </w:p>
    <w:p w14:paraId="3FF9760C" w14:textId="77777777" w:rsidR="00DE5F78" w:rsidRDefault="00DE5F78" w:rsidP="00435DD4">
      <w:pPr>
        <w:tabs>
          <w:tab w:val="left" w:pos="-142"/>
          <w:tab w:val="left" w:pos="284"/>
          <w:tab w:val="num" w:pos="426"/>
        </w:tabs>
        <w:spacing w:after="0"/>
        <w:jc w:val="both"/>
        <w:rPr>
          <w:rFonts w:ascii="Times New Roman" w:hAnsi="Times New Roman" w:cs="Times New Roman"/>
          <w:sz w:val="22"/>
          <w:szCs w:val="22"/>
        </w:rPr>
      </w:pPr>
    </w:p>
    <w:p w14:paraId="0BDB77A7" w14:textId="77777777" w:rsidR="00DE5F78" w:rsidRDefault="00DE5F78" w:rsidP="00435DD4">
      <w:pPr>
        <w:tabs>
          <w:tab w:val="left" w:pos="-142"/>
          <w:tab w:val="left" w:pos="284"/>
          <w:tab w:val="num" w:pos="426"/>
        </w:tabs>
        <w:spacing w:after="0"/>
        <w:jc w:val="both"/>
        <w:rPr>
          <w:rFonts w:ascii="Times New Roman" w:hAnsi="Times New Roman" w:cs="Times New Roman"/>
          <w:sz w:val="22"/>
          <w:szCs w:val="22"/>
        </w:rPr>
      </w:pPr>
    </w:p>
    <w:p w14:paraId="01C77EBB" w14:textId="77777777" w:rsidR="00DE5F78" w:rsidRPr="00435DD4" w:rsidRDefault="00DE5F78" w:rsidP="00435DD4">
      <w:pPr>
        <w:tabs>
          <w:tab w:val="left" w:pos="-142"/>
          <w:tab w:val="left" w:pos="284"/>
          <w:tab w:val="num" w:pos="426"/>
        </w:tabs>
        <w:spacing w:after="0"/>
        <w:jc w:val="both"/>
        <w:rPr>
          <w:rFonts w:ascii="Times New Roman" w:hAnsi="Times New Roman" w:cs="Times New Roman"/>
          <w:sz w:val="22"/>
          <w:szCs w:val="22"/>
        </w:rPr>
      </w:pPr>
    </w:p>
    <w:p w14:paraId="7EBC28CF" w14:textId="2ABD61E7" w:rsidR="009C3E27" w:rsidRPr="00DE5F78" w:rsidRDefault="00AE60C1" w:rsidP="00AE60C1">
      <w:pPr>
        <w:pStyle w:val="ListeParagraf"/>
        <w:tabs>
          <w:tab w:val="left" w:pos="-142"/>
          <w:tab w:val="left" w:pos="284"/>
          <w:tab w:val="num" w:pos="426"/>
        </w:tabs>
        <w:spacing w:after="0"/>
        <w:ind w:left="0"/>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7CA8BFE8" w14:textId="11E34163" w:rsidR="001848A6" w:rsidRDefault="00415182" w:rsidP="00DE5F78">
      <w:pPr>
        <w:pStyle w:val="ListeParagraf"/>
        <w:numPr>
          <w:ilvl w:val="0"/>
          <w:numId w:val="1"/>
        </w:numPr>
        <w:tabs>
          <w:tab w:val="clear" w:pos="720"/>
          <w:tab w:val="num" w:pos="360"/>
          <w:tab w:val="num" w:pos="567"/>
        </w:tabs>
        <w:spacing w:after="480" w:line="240" w:lineRule="auto"/>
        <w:ind w:left="0" w:hanging="284"/>
        <w:textAlignment w:val="baseline"/>
        <w:rPr>
          <w:rFonts w:ascii="Times New Roman" w:hAnsi="Times New Roman" w:cs="Times New Roman"/>
          <w:b/>
          <w:bCs/>
          <w:sz w:val="22"/>
          <w:szCs w:val="22"/>
        </w:rPr>
      </w:pPr>
      <w:r>
        <w:rPr>
          <w:rFonts w:ascii="Times New Roman" w:hAnsi="Times New Roman" w:cs="Times New Roman"/>
          <w:b/>
          <w:bCs/>
          <w:sz w:val="22"/>
          <w:szCs w:val="22"/>
        </w:rPr>
        <w:t xml:space="preserve">KURUMSAL HUKUK SERİSİ </w:t>
      </w:r>
      <w:r w:rsidR="00AE60C1">
        <w:rPr>
          <w:rFonts w:ascii="Times New Roman" w:hAnsi="Times New Roman" w:cs="Times New Roman"/>
          <w:b/>
          <w:bCs/>
          <w:sz w:val="22"/>
          <w:szCs w:val="22"/>
        </w:rPr>
        <w:t xml:space="preserve">#7 </w:t>
      </w:r>
      <w:r w:rsidR="00DE5F78" w:rsidRPr="00DE5F78">
        <w:rPr>
          <w:rFonts w:ascii="Times New Roman" w:hAnsi="Times New Roman" w:cs="Times New Roman"/>
          <w:b/>
          <w:bCs/>
          <w:sz w:val="22"/>
          <w:szCs w:val="22"/>
        </w:rPr>
        <w:t>ANONİM ŞİRKETLERDE AZINLIK PAY SAHİPLERİNİN HAKLARI VE KORUNMASI</w:t>
      </w:r>
    </w:p>
    <w:p w14:paraId="68D820CC"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Anonim şirketlerde, sermaye sahiplerinin çoğunluğunu elinde bulunduran pay sahipleri ile azınlık pay sahipleri arasında doğal bir güç dengesizliği bulunmaktadır. Çoğunluk pay sahipleri şirket yönetiminde ve genel kurul kararlarında belirleyici rol oynarken, azınlık pay sahipleri çoğunluk kararlarının etkisi altında kalabilmektedir. Bu durum, azınlık pay sahiplerinin haklarının korunmasını hem hukuki hem de pratik açıdan önemli hale getirmektedir. Türk Ticaret Kanunu (“</w:t>
      </w:r>
      <w:r w:rsidRPr="007A76CC">
        <w:rPr>
          <w:rFonts w:ascii="Times New Roman" w:hAnsi="Times New Roman" w:cs="Times New Roman"/>
          <w:b/>
          <w:bCs/>
          <w:sz w:val="22"/>
          <w:szCs w:val="22"/>
        </w:rPr>
        <w:t>TTK</w:t>
      </w:r>
      <w:r w:rsidRPr="00C75F09">
        <w:rPr>
          <w:rFonts w:ascii="Times New Roman" w:hAnsi="Times New Roman" w:cs="Times New Roman"/>
          <w:sz w:val="22"/>
          <w:szCs w:val="22"/>
        </w:rPr>
        <w:t xml:space="preserve">”) ve </w:t>
      </w:r>
      <w:r>
        <w:rPr>
          <w:rFonts w:ascii="Times New Roman" w:hAnsi="Times New Roman" w:cs="Times New Roman"/>
          <w:sz w:val="22"/>
          <w:szCs w:val="22"/>
        </w:rPr>
        <w:t>diğer ilgili mevzuat</w:t>
      </w:r>
      <w:r w:rsidRPr="00C75F09">
        <w:rPr>
          <w:rFonts w:ascii="Times New Roman" w:hAnsi="Times New Roman" w:cs="Times New Roman"/>
          <w:sz w:val="22"/>
          <w:szCs w:val="22"/>
        </w:rPr>
        <w:t xml:space="preserve"> bu dengeyi gözeterek azınlık pay sahiplerinin korunmasını çeşitli mekanizmalar aracılığıyla sağlamaktadır.</w:t>
      </w:r>
    </w:p>
    <w:p w14:paraId="466F111E"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Azınlık pay sahiplerinin korunması, yalnızca çoğunluğun fırsatçı davranışlarına karşı önlem almakla kalmaz; aynı zamanda hâkim pay sahibinin şirketten sağladığı ekonomik ve yönetimsel faydaları azınlığın aleyhine kullanmasını da önler. Bu makalede, Türk anonim şirketlerinde azınlık pay sahiplerinin hakları, mevcut hukuki düzenlemeler ve birleşme-devralma süreçlerinde karşılaşabilecekleri riskler ele alınacaktır.</w:t>
      </w:r>
    </w:p>
    <w:p w14:paraId="2DF09207" w14:textId="77777777" w:rsidR="001848A6" w:rsidRPr="00C75F09" w:rsidRDefault="001848A6" w:rsidP="001848A6">
      <w:pPr>
        <w:jc w:val="both"/>
        <w:rPr>
          <w:rFonts w:ascii="Times New Roman" w:hAnsi="Times New Roman" w:cs="Times New Roman"/>
          <w:b/>
          <w:bCs/>
          <w:sz w:val="22"/>
          <w:szCs w:val="22"/>
        </w:rPr>
      </w:pPr>
      <w:r w:rsidRPr="00C75F09">
        <w:rPr>
          <w:rFonts w:ascii="Times New Roman" w:hAnsi="Times New Roman" w:cs="Times New Roman"/>
          <w:b/>
          <w:bCs/>
          <w:sz w:val="22"/>
          <w:szCs w:val="22"/>
        </w:rPr>
        <w:t>Kavramsal Çerçeve</w:t>
      </w:r>
    </w:p>
    <w:p w14:paraId="011EE020"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Anonim şirketlerde azınlık pay sahipleri, şirketin toplam sermayesinin küçük bir kısmına sahip olan pay sahiplerini ifade eder. TTK 411. maddesi uyarınca, halka kapalı şirketlerde sermayenin en az %10’unu, halka açık şirketlerde ise %5’ini temsil eden pay sahipleri “azınlık pay sahibi” olarak nitelendirilir. Azınlık kavramı, yalnızca sahip olunan pay oranına bağlı kalmayıp, ilgili pay sahiplerinin şirket yönetimi ve genel kurul kararları üzerindeki etkisizliğine dayalı bir korunma gereksinimi ile ilgilidir </w:t>
      </w:r>
    </w:p>
    <w:p w14:paraId="1888ED57"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Azınlık pay sahiplerinin haklarının korunmasında iki temel yaklaşım bulunmaktadır:</w:t>
      </w:r>
    </w:p>
    <w:p w14:paraId="5805E18C" w14:textId="77777777" w:rsidR="001848A6" w:rsidRPr="00C75F09" w:rsidRDefault="001848A6" w:rsidP="001848A6">
      <w:pPr>
        <w:numPr>
          <w:ilvl w:val="0"/>
          <w:numId w:val="5"/>
        </w:numPr>
        <w:jc w:val="both"/>
        <w:rPr>
          <w:rFonts w:ascii="Times New Roman" w:hAnsi="Times New Roman" w:cs="Times New Roman"/>
          <w:sz w:val="22"/>
          <w:szCs w:val="22"/>
        </w:rPr>
      </w:pPr>
      <w:r w:rsidRPr="00C75F09">
        <w:rPr>
          <w:rFonts w:ascii="Times New Roman" w:hAnsi="Times New Roman" w:cs="Times New Roman"/>
          <w:b/>
          <w:bCs/>
          <w:sz w:val="22"/>
          <w:szCs w:val="22"/>
        </w:rPr>
        <w:t>Geleneksel Tasnif: Olumlu ve Olumsuz Haklar</w:t>
      </w:r>
    </w:p>
    <w:p w14:paraId="74AA8D03"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sz w:val="22"/>
          <w:szCs w:val="22"/>
        </w:rPr>
        <w:t>Olumlu azınlık hakları, azınlık pay sahiplerinin çoğunluğa karşı şirket iradesini etkilemesine olanak tanır (ör. özel denetçi atanmasını talep etme, haklı sebeplerle fesih davası açma).</w:t>
      </w:r>
    </w:p>
    <w:p w14:paraId="4DF0A9D2"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sz w:val="22"/>
          <w:szCs w:val="22"/>
        </w:rPr>
        <w:t xml:space="preserve">Olumsuz azınlık hakları, çoğunluk kararlarının uygulanmasını engelleyerek azınlık lehine denge oluşturur (ör. ağırlaştırılmış nisap, sulh ve ibraya engel olma) </w:t>
      </w:r>
    </w:p>
    <w:p w14:paraId="24AFAF56" w14:textId="77777777" w:rsidR="001848A6" w:rsidRDefault="001848A6" w:rsidP="001848A6">
      <w:pPr>
        <w:numPr>
          <w:ilvl w:val="0"/>
          <w:numId w:val="5"/>
        </w:numPr>
        <w:jc w:val="both"/>
        <w:rPr>
          <w:rFonts w:ascii="Times New Roman" w:hAnsi="Times New Roman" w:cs="Times New Roman"/>
          <w:sz w:val="22"/>
          <w:szCs w:val="22"/>
        </w:rPr>
      </w:pPr>
      <w:r w:rsidRPr="00C75F09">
        <w:rPr>
          <w:rFonts w:ascii="Times New Roman" w:hAnsi="Times New Roman" w:cs="Times New Roman"/>
          <w:b/>
          <w:bCs/>
          <w:sz w:val="22"/>
          <w:szCs w:val="22"/>
        </w:rPr>
        <w:t>Yeni Yaklaşım: Söz ve Çıkış Hakları Temelli Tasnif</w:t>
      </w:r>
    </w:p>
    <w:p w14:paraId="02E64C1D" w14:textId="77777777" w:rsidR="001848A6" w:rsidRPr="00C75F09" w:rsidRDefault="001848A6" w:rsidP="001848A6">
      <w:pPr>
        <w:ind w:left="360"/>
        <w:jc w:val="both"/>
        <w:rPr>
          <w:rFonts w:ascii="Times New Roman" w:hAnsi="Times New Roman" w:cs="Times New Roman"/>
          <w:sz w:val="22"/>
          <w:szCs w:val="22"/>
        </w:rPr>
      </w:pPr>
      <w:r w:rsidRPr="00C75F09">
        <w:rPr>
          <w:rFonts w:ascii="Times New Roman" w:hAnsi="Times New Roman" w:cs="Times New Roman"/>
          <w:sz w:val="22"/>
          <w:szCs w:val="22"/>
        </w:rPr>
        <w:t>Bu yaklaşım, azınlığı koruyan düzenlemeleri beş başlık altında sınıflandırır: söz hakları, çıkış hakları, altyapısal haklar, boşluk doldurucu ilkeler ve çeperler.</w:t>
      </w:r>
    </w:p>
    <w:p w14:paraId="5802AE27"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b/>
          <w:bCs/>
          <w:sz w:val="22"/>
          <w:szCs w:val="22"/>
        </w:rPr>
        <w:t>Söz hakları:</w:t>
      </w:r>
      <w:r w:rsidRPr="00C75F09">
        <w:rPr>
          <w:rFonts w:ascii="Times New Roman" w:hAnsi="Times New Roman" w:cs="Times New Roman"/>
          <w:sz w:val="22"/>
          <w:szCs w:val="22"/>
        </w:rPr>
        <w:t xml:space="preserve"> Azınlık pay sahiplerinin şirket kararlarını etkileyebilmesini sağlar (oy hakkı, organ kararlarının hükümsüzlüğü, sorumluluk yaptırımları).</w:t>
      </w:r>
    </w:p>
    <w:p w14:paraId="79E00228"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b/>
          <w:bCs/>
          <w:sz w:val="22"/>
          <w:szCs w:val="22"/>
        </w:rPr>
        <w:t>Çıkış hakları:</w:t>
      </w:r>
      <w:r w:rsidRPr="00C75F09">
        <w:rPr>
          <w:rFonts w:ascii="Times New Roman" w:hAnsi="Times New Roman" w:cs="Times New Roman"/>
          <w:sz w:val="22"/>
          <w:szCs w:val="22"/>
        </w:rPr>
        <w:t xml:space="preserve"> Pay sahiplerinin yatırımını adil bir bedelle geri alabilmesine imkân tanır (serbest çıkış ve güvenli çıkış hakları, TTK 531, TTK 202).</w:t>
      </w:r>
    </w:p>
    <w:p w14:paraId="21BFB045"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b/>
          <w:bCs/>
          <w:sz w:val="22"/>
          <w:szCs w:val="22"/>
        </w:rPr>
        <w:t>Altyapısal haklar:</w:t>
      </w:r>
      <w:r w:rsidRPr="00C75F09">
        <w:rPr>
          <w:rFonts w:ascii="Times New Roman" w:hAnsi="Times New Roman" w:cs="Times New Roman"/>
          <w:sz w:val="22"/>
          <w:szCs w:val="22"/>
        </w:rPr>
        <w:t xml:space="preserve"> Söz ve çıkış haklarının kullanılabilmesini sağlayan düzenlemeleri kapsar (bilgi alma hakkı, genel kurul çağrı ve gündem hakkı).</w:t>
      </w:r>
    </w:p>
    <w:p w14:paraId="51DA04BB"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b/>
          <w:bCs/>
          <w:sz w:val="22"/>
          <w:szCs w:val="22"/>
        </w:rPr>
        <w:lastRenderedPageBreak/>
        <w:t>Boşluk doldurucu ilkeler:</w:t>
      </w:r>
      <w:r w:rsidRPr="00C75F09">
        <w:rPr>
          <w:rFonts w:ascii="Times New Roman" w:hAnsi="Times New Roman" w:cs="Times New Roman"/>
          <w:sz w:val="22"/>
          <w:szCs w:val="22"/>
        </w:rPr>
        <w:t xml:space="preserve"> Dürüstlük ve eşit muamele ilkesi gibi soyut prensipler azınlığı korur.</w:t>
      </w:r>
    </w:p>
    <w:p w14:paraId="33F46695" w14:textId="77777777" w:rsidR="001848A6" w:rsidRPr="00C75F09" w:rsidRDefault="001848A6" w:rsidP="001848A6">
      <w:pPr>
        <w:numPr>
          <w:ilvl w:val="1"/>
          <w:numId w:val="5"/>
        </w:numPr>
        <w:jc w:val="both"/>
        <w:rPr>
          <w:rFonts w:ascii="Times New Roman" w:hAnsi="Times New Roman" w:cs="Times New Roman"/>
          <w:sz w:val="22"/>
          <w:szCs w:val="22"/>
        </w:rPr>
      </w:pPr>
      <w:r w:rsidRPr="00C75F09">
        <w:rPr>
          <w:rFonts w:ascii="Times New Roman" w:hAnsi="Times New Roman" w:cs="Times New Roman"/>
          <w:b/>
          <w:bCs/>
          <w:sz w:val="22"/>
          <w:szCs w:val="22"/>
        </w:rPr>
        <w:t>Çeperler:</w:t>
      </w:r>
      <w:r w:rsidRPr="00C75F09">
        <w:rPr>
          <w:rFonts w:ascii="Times New Roman" w:hAnsi="Times New Roman" w:cs="Times New Roman"/>
          <w:sz w:val="22"/>
          <w:szCs w:val="22"/>
        </w:rPr>
        <w:t xml:space="preserve"> Emredici hükümler ve pay sahibinin vazgeçilemeyen hakları, azınlık haklarını hâkim pay sahibinin iradesinden korur </w:t>
      </w:r>
    </w:p>
    <w:p w14:paraId="42102424" w14:textId="77777777" w:rsidR="001848A6" w:rsidRPr="00C75F09" w:rsidRDefault="001848A6" w:rsidP="001848A6">
      <w:pPr>
        <w:jc w:val="both"/>
        <w:rPr>
          <w:rFonts w:ascii="Times New Roman" w:hAnsi="Times New Roman" w:cs="Times New Roman"/>
          <w:sz w:val="22"/>
          <w:szCs w:val="22"/>
        </w:rPr>
      </w:pPr>
    </w:p>
    <w:p w14:paraId="004753E5" w14:textId="77777777" w:rsidR="001848A6" w:rsidRPr="00C75F09" w:rsidRDefault="001848A6" w:rsidP="001848A6">
      <w:pPr>
        <w:jc w:val="both"/>
        <w:rPr>
          <w:rFonts w:ascii="Times New Roman" w:hAnsi="Times New Roman" w:cs="Times New Roman"/>
          <w:b/>
          <w:bCs/>
          <w:sz w:val="22"/>
          <w:szCs w:val="22"/>
        </w:rPr>
      </w:pPr>
      <w:r w:rsidRPr="00C75F09">
        <w:rPr>
          <w:rFonts w:ascii="Times New Roman" w:hAnsi="Times New Roman" w:cs="Times New Roman"/>
          <w:b/>
          <w:bCs/>
          <w:sz w:val="22"/>
          <w:szCs w:val="22"/>
        </w:rPr>
        <w:t>Türk Hukuku Kapsamında Azınlık Hakları</w:t>
      </w:r>
    </w:p>
    <w:p w14:paraId="4B6A315C" w14:textId="77777777" w:rsidR="001848A6" w:rsidRPr="005E4D82" w:rsidRDefault="001848A6" w:rsidP="001848A6">
      <w:pPr>
        <w:pStyle w:val="ListeParagraf"/>
        <w:numPr>
          <w:ilvl w:val="2"/>
          <w:numId w:val="5"/>
        </w:numPr>
        <w:ind w:left="851"/>
        <w:jc w:val="both"/>
        <w:rPr>
          <w:rFonts w:ascii="Times New Roman" w:hAnsi="Times New Roman" w:cs="Times New Roman"/>
          <w:b/>
          <w:bCs/>
          <w:sz w:val="22"/>
          <w:szCs w:val="22"/>
        </w:rPr>
      </w:pPr>
      <w:r w:rsidRPr="005E4D82">
        <w:rPr>
          <w:rFonts w:ascii="Times New Roman" w:hAnsi="Times New Roman" w:cs="Times New Roman"/>
          <w:b/>
          <w:bCs/>
          <w:sz w:val="22"/>
          <w:szCs w:val="22"/>
        </w:rPr>
        <w:t>Bilgi Alma ve İnceleme Hakkı</w:t>
      </w:r>
    </w:p>
    <w:p w14:paraId="43F486F7"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Azınlık pay sahipleri, şirket yönetimi hakkında bilgi sahibi olmalı ve haklarını bilinçli kullanabilmelidir. TTK 437 uyarınca, pay sahipleri finansal tablolar, faaliyet ve denetim raporlarını genel kurul toplantısından en az 15 gün önce inceleyebilir. </w:t>
      </w:r>
      <w:r>
        <w:rPr>
          <w:rFonts w:ascii="Times New Roman" w:hAnsi="Times New Roman" w:cs="Times New Roman"/>
          <w:sz w:val="22"/>
          <w:szCs w:val="22"/>
        </w:rPr>
        <w:t>Tanınan</w:t>
      </w:r>
      <w:r w:rsidRPr="00765204">
        <w:rPr>
          <w:rFonts w:ascii="Times New Roman" w:hAnsi="Times New Roman" w:cs="Times New Roman"/>
          <w:sz w:val="22"/>
          <w:szCs w:val="22"/>
        </w:rPr>
        <w:t xml:space="preserve"> bu hak vazgeçilmez haklardan olup, kaldırılamaz ve sınırlandırılamaz.</w:t>
      </w:r>
      <w:r>
        <w:rPr>
          <w:rFonts w:ascii="Times New Roman" w:hAnsi="Times New Roman" w:cs="Times New Roman"/>
          <w:sz w:val="22"/>
          <w:szCs w:val="22"/>
        </w:rPr>
        <w:t xml:space="preserve"> </w:t>
      </w:r>
      <w:r w:rsidRPr="00765204">
        <w:rPr>
          <w:rFonts w:ascii="Times New Roman" w:hAnsi="Times New Roman" w:cs="Times New Roman"/>
          <w:sz w:val="22"/>
          <w:szCs w:val="22"/>
        </w:rPr>
        <w:t>Bilgi alma veya inceleme istemleri yanıtsız bırakılan, reddedilen, ertelenen ve bilgi alamayan pay sahipleri redddi izleyen on gün içinde, diğer hallerde de makul bir süre sonra, şirket merkezinin bulunduğu asliye ticaret mahkemesine başvurabilir.</w:t>
      </w:r>
    </w:p>
    <w:p w14:paraId="16EA9337" w14:textId="77777777" w:rsidR="001848A6" w:rsidRPr="005E4D82" w:rsidRDefault="001848A6" w:rsidP="001848A6">
      <w:pPr>
        <w:pStyle w:val="ListeParagraf"/>
        <w:numPr>
          <w:ilvl w:val="2"/>
          <w:numId w:val="5"/>
        </w:numPr>
        <w:ind w:left="851"/>
        <w:jc w:val="both"/>
        <w:rPr>
          <w:rFonts w:ascii="Times New Roman" w:hAnsi="Times New Roman" w:cs="Times New Roman"/>
          <w:b/>
          <w:bCs/>
          <w:sz w:val="22"/>
          <w:szCs w:val="22"/>
        </w:rPr>
      </w:pPr>
      <w:r w:rsidRPr="005E4D82">
        <w:rPr>
          <w:rFonts w:ascii="Times New Roman" w:hAnsi="Times New Roman" w:cs="Times New Roman"/>
          <w:b/>
          <w:bCs/>
          <w:sz w:val="22"/>
          <w:szCs w:val="22"/>
        </w:rPr>
        <w:t>Genel Kurul Toplantısına Çağırma ve Gündeme Madde Ekletme Hakkı</w:t>
      </w:r>
    </w:p>
    <w:p w14:paraId="401E6485"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Azınlık pay sahipleri, genel kurulu toplantıya çağırabilir veya gündeme madde ekletebilir. TTK 411 ve ilgili maddeler uyarınca bu talepler noter aracılığıyla iletilir</w:t>
      </w:r>
      <w:r>
        <w:rPr>
          <w:rFonts w:ascii="Times New Roman" w:hAnsi="Times New Roman" w:cs="Times New Roman"/>
          <w:sz w:val="22"/>
          <w:szCs w:val="22"/>
        </w:rPr>
        <w:t>.</w:t>
      </w:r>
      <w:r w:rsidRPr="00C75F09">
        <w:rPr>
          <w:rFonts w:ascii="Times New Roman" w:hAnsi="Times New Roman" w:cs="Times New Roman"/>
          <w:sz w:val="22"/>
          <w:szCs w:val="22"/>
        </w:rPr>
        <w:t xml:space="preserve"> </w:t>
      </w:r>
      <w:r>
        <w:rPr>
          <w:rFonts w:ascii="Times New Roman" w:hAnsi="Times New Roman" w:cs="Times New Roman"/>
          <w:sz w:val="22"/>
          <w:szCs w:val="22"/>
        </w:rPr>
        <w:t xml:space="preserve"> </w:t>
      </w:r>
      <w:r w:rsidRPr="006B6652">
        <w:rPr>
          <w:rFonts w:ascii="Times New Roman" w:hAnsi="Times New Roman" w:cs="Times New Roman"/>
          <w:sz w:val="22"/>
          <w:szCs w:val="22"/>
        </w:rPr>
        <w:t>Azınlık pay sahiplerine tanınan bu hak ile genel kurulun toplanmasına ilişkin şirket yönetim kurulu ile azınlık pay sahipleri arasındaki şirketin yönetilmesine ilişkin anlaşmazlığın giderilmesi, azınlığın talebi üzerine genel kurul toplantısının yapılması ve azınlığın görüşülmesinin istediklerini konuların gündeme alınmasının sağlanma yoluyla bir anlamda anonim şirket idaresine katılması amaçlanmaktadır.</w:t>
      </w:r>
    </w:p>
    <w:p w14:paraId="69031D5A" w14:textId="77777777" w:rsidR="001848A6" w:rsidRPr="005E4D82" w:rsidRDefault="001848A6" w:rsidP="001848A6">
      <w:pPr>
        <w:pStyle w:val="ListeParagraf"/>
        <w:numPr>
          <w:ilvl w:val="2"/>
          <w:numId w:val="5"/>
        </w:numPr>
        <w:ind w:left="851"/>
        <w:jc w:val="both"/>
        <w:rPr>
          <w:rFonts w:ascii="Times New Roman" w:hAnsi="Times New Roman" w:cs="Times New Roman"/>
          <w:b/>
          <w:bCs/>
          <w:sz w:val="22"/>
          <w:szCs w:val="22"/>
        </w:rPr>
      </w:pPr>
      <w:r w:rsidRPr="005E4D82">
        <w:rPr>
          <w:rFonts w:ascii="Times New Roman" w:hAnsi="Times New Roman" w:cs="Times New Roman"/>
          <w:b/>
          <w:bCs/>
          <w:sz w:val="22"/>
          <w:szCs w:val="22"/>
        </w:rPr>
        <w:t>Özel Denetçi Atanmasını Talep Etme Hakkı</w:t>
      </w:r>
    </w:p>
    <w:p w14:paraId="3789FA22"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TTK 438 uyarınca, azınlık pay sahipleri belirli olayların açıklığa kavuşması için özel denetçi atanmasını talep edebilir. Yargıtay, özel denetçi tayini için kesin kanıt aranmaması gerektiğini vurgulamıştır (Yargıtay 11. Hukuk Dairesi, 2000/5472 E., 2000/6335 K.) </w:t>
      </w:r>
      <w:r w:rsidRPr="006B6652">
        <w:rPr>
          <w:rFonts w:ascii="Times New Roman" w:hAnsi="Times New Roman" w:cs="Times New Roman"/>
          <w:sz w:val="22"/>
          <w:szCs w:val="22"/>
        </w:rPr>
        <w:t>Özet denetim talebi, pay yüzdesinden bağımsız tüm pay sahiplerine tanınmış bireysel bir hak olmakla birlikte, genel kurulun özel denetim talebini reddetmesi durumunda, mahkemeye başvuru için azınlık pay sahiplerinin bir araya gelerek, yeterli pay oranını sağlamaları gerekmektedir. Mahkemeye yapılacak başvuruda da halka kapalı şirketlerde sermayenin en az onda birine sahip veya payların itibari değeri toplamı en az bir milyon Türk lirası olan pay sahipleri üç ay içinde şirket merkezinin bulunduğu yer asliye ticaret mahkemesinden özel denetçi atanmasını isteyebilir.</w:t>
      </w:r>
    </w:p>
    <w:p w14:paraId="434DCE88" w14:textId="77777777" w:rsidR="001848A6" w:rsidRPr="005E4D82" w:rsidRDefault="001848A6" w:rsidP="001848A6">
      <w:pPr>
        <w:pStyle w:val="ListeParagraf"/>
        <w:numPr>
          <w:ilvl w:val="2"/>
          <w:numId w:val="5"/>
        </w:numPr>
        <w:ind w:left="851"/>
        <w:jc w:val="both"/>
        <w:rPr>
          <w:rFonts w:ascii="Times New Roman" w:hAnsi="Times New Roman" w:cs="Times New Roman"/>
          <w:b/>
          <w:bCs/>
          <w:sz w:val="22"/>
          <w:szCs w:val="22"/>
        </w:rPr>
      </w:pPr>
      <w:r w:rsidRPr="005E4D82">
        <w:rPr>
          <w:rFonts w:ascii="Times New Roman" w:hAnsi="Times New Roman" w:cs="Times New Roman"/>
          <w:b/>
          <w:bCs/>
          <w:sz w:val="22"/>
          <w:szCs w:val="22"/>
        </w:rPr>
        <w:t>Haklı Sebeplerle Şirketin Feshi</w:t>
      </w:r>
    </w:p>
    <w:p w14:paraId="1AF90BA1"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TTK 531, sermayenin belirli oranına sahip pay sahiplerine haklı sebep durumunda şirketin feshi davası açma hakkı tanır. Özellikle aile şirketlerinde kişisel sebepler de haklı sebep sayılabilmektedir (Yargıtay 11. Hukuk Dairesi, 2019/2942E., 2021/1647 K.) </w:t>
      </w:r>
    </w:p>
    <w:p w14:paraId="5F3FD942" w14:textId="77777777" w:rsidR="001848A6" w:rsidRPr="005E4D82" w:rsidRDefault="001848A6" w:rsidP="001848A6">
      <w:pPr>
        <w:pStyle w:val="ListeParagraf"/>
        <w:numPr>
          <w:ilvl w:val="2"/>
          <w:numId w:val="5"/>
        </w:numPr>
        <w:ind w:left="851"/>
        <w:jc w:val="both"/>
        <w:rPr>
          <w:rFonts w:ascii="Times New Roman" w:hAnsi="Times New Roman" w:cs="Times New Roman"/>
          <w:b/>
          <w:bCs/>
          <w:sz w:val="22"/>
          <w:szCs w:val="22"/>
        </w:rPr>
      </w:pPr>
      <w:r w:rsidRPr="005E4D82">
        <w:rPr>
          <w:rFonts w:ascii="Times New Roman" w:hAnsi="Times New Roman" w:cs="Times New Roman"/>
          <w:b/>
          <w:bCs/>
          <w:sz w:val="22"/>
          <w:szCs w:val="22"/>
        </w:rPr>
        <w:t>Finansal Tabloların Müzakeresinin Ertelenmesi</w:t>
      </w:r>
    </w:p>
    <w:p w14:paraId="2F7E948A"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TTK 413/3 ve 420/1 uyarınca, azınlık pay sahipleri bilanço görüşmelerinin en az bir ay ileriye ertelenmesini talep edebilir. Bu talep için gerekçe gösterilmesi zorunlu değildir (Yargıtay 11. Hukuk Dairesi, 2015/7411 E., 2016/3647 K.) </w:t>
      </w:r>
      <w:r w:rsidRPr="006B6652">
        <w:rPr>
          <w:rFonts w:ascii="Times New Roman" w:hAnsi="Times New Roman" w:cs="Times New Roman"/>
          <w:sz w:val="22"/>
          <w:szCs w:val="22"/>
        </w:rPr>
        <w:t xml:space="preserve">Azınlık pay sahiplerine tanınan bu hak ile teknik muhasebe bilgisi gerektiren finansal tabloların içerdiği bilgilerin ayrıntılı bir şekilde incelenmesi </w:t>
      </w:r>
      <w:proofErr w:type="gramStart"/>
      <w:r w:rsidRPr="006B6652">
        <w:rPr>
          <w:rFonts w:ascii="Times New Roman" w:hAnsi="Times New Roman" w:cs="Times New Roman"/>
          <w:sz w:val="22"/>
          <w:szCs w:val="22"/>
        </w:rPr>
        <w:t>imkanı</w:t>
      </w:r>
      <w:proofErr w:type="gramEnd"/>
      <w:r w:rsidRPr="006B6652">
        <w:rPr>
          <w:rFonts w:ascii="Times New Roman" w:hAnsi="Times New Roman" w:cs="Times New Roman"/>
          <w:sz w:val="22"/>
          <w:szCs w:val="22"/>
        </w:rPr>
        <w:t xml:space="preserve"> tanınmaktadır.</w:t>
      </w:r>
    </w:p>
    <w:p w14:paraId="26154AA0" w14:textId="77777777" w:rsidR="001848A6" w:rsidRPr="00C75F09" w:rsidRDefault="001848A6" w:rsidP="001848A6">
      <w:pPr>
        <w:jc w:val="both"/>
        <w:rPr>
          <w:rFonts w:ascii="Times New Roman" w:hAnsi="Times New Roman" w:cs="Times New Roman"/>
          <w:b/>
          <w:bCs/>
          <w:sz w:val="22"/>
          <w:szCs w:val="22"/>
        </w:rPr>
      </w:pPr>
      <w:r w:rsidRPr="00C75F09">
        <w:rPr>
          <w:rFonts w:ascii="Times New Roman" w:hAnsi="Times New Roman" w:cs="Times New Roman"/>
          <w:b/>
          <w:bCs/>
          <w:sz w:val="22"/>
          <w:szCs w:val="22"/>
        </w:rPr>
        <w:t>Birleşme ve Devralmalarda Azınlık Hakları</w:t>
      </w:r>
    </w:p>
    <w:p w14:paraId="19DCA376"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lastRenderedPageBreak/>
        <w:t>Birleşme ve devralma işlemleri, şirketlerin yapısında önemli değişiklikler yaratır ve azınlık pay sahipleri bu süreçte özellikle risk altındadır. TTK 140 ve 141. maddeleri, birleşme sürecinde pay sahiplerinin mevcut haklarını koruma ve adil bir bedel karşılığında paylarını satabilme (ayrılma akçesi) imkanını düzenler</w:t>
      </w:r>
      <w:r>
        <w:rPr>
          <w:rFonts w:ascii="Times New Roman" w:hAnsi="Times New Roman" w:cs="Times New Roman"/>
          <w:sz w:val="22"/>
          <w:szCs w:val="22"/>
        </w:rPr>
        <w:t>. B</w:t>
      </w:r>
      <w:r w:rsidRPr="006B6652">
        <w:rPr>
          <w:rFonts w:ascii="Times New Roman" w:hAnsi="Times New Roman" w:cs="Times New Roman"/>
          <w:sz w:val="22"/>
          <w:szCs w:val="22"/>
        </w:rPr>
        <w:t>irleşmenin azınlık hissedarları açısından haklı bir sebep olmaksızın katlanılamaz bir fedakârlık doğurması halinde, paylarının gerçek değer üzerinden satın alınmasını talep edebilirler (TTK m. 141). Bu hak, ayrılma akçesi (exit payment) olarak da adlandırılır ve azınlık hissedarlarının birleşme nedeniyle uğrayacakları zararları telafi etmeyi amaçlar</w:t>
      </w:r>
    </w:p>
    <w:p w14:paraId="40779659"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Azınlık pay sahipleri, birleşme öncesinde belgeleri inceleyerek bilinçli karar verebilir ve TTK kapsamında kanuna veya ana sözleşmeye aykırı alınan kararların iptali için dava açabilir. Bu süreçte oy kullanma ve çıkış hakları kritik öneme sahiptir </w:t>
      </w:r>
    </w:p>
    <w:p w14:paraId="46CF9BD0" w14:textId="77777777" w:rsidR="001848A6" w:rsidRPr="00C75F09" w:rsidRDefault="001848A6" w:rsidP="001848A6">
      <w:pPr>
        <w:jc w:val="both"/>
        <w:rPr>
          <w:rFonts w:ascii="Times New Roman" w:hAnsi="Times New Roman" w:cs="Times New Roman"/>
          <w:b/>
          <w:bCs/>
          <w:sz w:val="22"/>
          <w:szCs w:val="22"/>
        </w:rPr>
      </w:pPr>
      <w:r w:rsidRPr="00C75F09">
        <w:rPr>
          <w:rFonts w:ascii="Times New Roman" w:hAnsi="Times New Roman" w:cs="Times New Roman"/>
          <w:b/>
          <w:bCs/>
          <w:sz w:val="22"/>
          <w:szCs w:val="22"/>
        </w:rPr>
        <w:t>Azınlık Pay Sahiplerinin Karşılaştığı Riskler</w:t>
      </w:r>
    </w:p>
    <w:p w14:paraId="25995F58" w14:textId="77777777" w:rsidR="001848A6" w:rsidRPr="00C75F09" w:rsidRDefault="001848A6" w:rsidP="001848A6">
      <w:pPr>
        <w:numPr>
          <w:ilvl w:val="0"/>
          <w:numId w:val="6"/>
        </w:numPr>
        <w:jc w:val="both"/>
        <w:rPr>
          <w:rFonts w:ascii="Times New Roman" w:hAnsi="Times New Roman" w:cs="Times New Roman"/>
          <w:sz w:val="22"/>
          <w:szCs w:val="22"/>
        </w:rPr>
      </w:pPr>
      <w:r w:rsidRPr="00C75F09">
        <w:rPr>
          <w:rFonts w:ascii="Times New Roman" w:hAnsi="Times New Roman" w:cs="Times New Roman"/>
          <w:sz w:val="22"/>
          <w:szCs w:val="22"/>
        </w:rPr>
        <w:t>Çoğunluğun kontrolünde yönetim kararları, azınlık çıkarlarını göz ardı edebilir.</w:t>
      </w:r>
    </w:p>
    <w:p w14:paraId="07EB7236" w14:textId="77777777" w:rsidR="001848A6" w:rsidRPr="00C75F09" w:rsidRDefault="001848A6" w:rsidP="001848A6">
      <w:pPr>
        <w:numPr>
          <w:ilvl w:val="0"/>
          <w:numId w:val="6"/>
        </w:numPr>
        <w:jc w:val="both"/>
        <w:rPr>
          <w:rFonts w:ascii="Times New Roman" w:hAnsi="Times New Roman" w:cs="Times New Roman"/>
          <w:sz w:val="22"/>
          <w:szCs w:val="22"/>
        </w:rPr>
      </w:pPr>
      <w:r w:rsidRPr="00C75F09">
        <w:rPr>
          <w:rFonts w:ascii="Times New Roman" w:hAnsi="Times New Roman" w:cs="Times New Roman"/>
          <w:sz w:val="22"/>
          <w:szCs w:val="22"/>
        </w:rPr>
        <w:t>Birleşme sonrası yeni şirketin performansındaki belirsizlik, pay değerlerinde dalgalanmaya yol açabilir.</w:t>
      </w:r>
    </w:p>
    <w:p w14:paraId="6E8940C7" w14:textId="77777777" w:rsidR="001848A6" w:rsidRPr="00C75F09" w:rsidRDefault="001848A6" w:rsidP="001848A6">
      <w:pPr>
        <w:numPr>
          <w:ilvl w:val="0"/>
          <w:numId w:val="6"/>
        </w:numPr>
        <w:jc w:val="both"/>
        <w:rPr>
          <w:rFonts w:ascii="Times New Roman" w:hAnsi="Times New Roman" w:cs="Times New Roman"/>
          <w:sz w:val="22"/>
          <w:szCs w:val="22"/>
        </w:rPr>
      </w:pPr>
      <w:r w:rsidRPr="00C75F09">
        <w:rPr>
          <w:rFonts w:ascii="Times New Roman" w:hAnsi="Times New Roman" w:cs="Times New Roman"/>
          <w:sz w:val="22"/>
          <w:szCs w:val="22"/>
        </w:rPr>
        <w:t>Büyük pay sahipleri tarafından azınlığa yeterli bilgi verilmemesi, hakların etkin kullanılmasını engelleyebilir.</w:t>
      </w:r>
    </w:p>
    <w:p w14:paraId="22871738"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 xml:space="preserve">Bu risklerin azaltılması için pay sahipleri sözleşmeleri, altyapısal haklar ve çıkış mekanizmaları etkin bir şekilde kullanılmalıdır </w:t>
      </w:r>
    </w:p>
    <w:p w14:paraId="33927BD0" w14:textId="77777777" w:rsidR="001848A6" w:rsidRPr="00C75F09" w:rsidRDefault="001848A6" w:rsidP="001848A6">
      <w:pPr>
        <w:jc w:val="both"/>
        <w:rPr>
          <w:rFonts w:ascii="Times New Roman" w:hAnsi="Times New Roman" w:cs="Times New Roman"/>
          <w:b/>
          <w:bCs/>
          <w:sz w:val="22"/>
          <w:szCs w:val="22"/>
        </w:rPr>
      </w:pPr>
      <w:r w:rsidRPr="00C75F09">
        <w:rPr>
          <w:rFonts w:ascii="Times New Roman" w:hAnsi="Times New Roman" w:cs="Times New Roman"/>
          <w:b/>
          <w:bCs/>
          <w:sz w:val="22"/>
          <w:szCs w:val="22"/>
        </w:rPr>
        <w:t>Sonuç</w:t>
      </w:r>
    </w:p>
    <w:p w14:paraId="15A4A472"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Anonim şirketlerde azınlık pay sahiplerinin korunması, Türk Ticaret Kanunu ve uygulama içtihatları ile güvence altına alınmıştır. Geleneksel olumlu-olumsuz hak ayrımı, kavramsal açıdan sınırlı bir açıklık sağlarken, söz ve çıkış hakları temelli yeni tasnif, azınlık haklarının işlevselliğini daha net bir şekilde ortaya koymaktadır. Bilgi alma, genel kurula katılım, özel denetçi talebi, fesih ve finansal tabloların ertelenmesi gibi haklar, azınlık pay sahiplerinin şirket yönetiminde adil bir konumda olmalarını ve yatırım risklerini azaltmalarını sağlamaktadır. Birleşme ve devralma süreçlerinde de azınlık haklarının korunması hem yasal düzenlemeler hem de sözleşmeye dayalı mekanizmalar aracılığıyla mümkün kılınmaktadır.</w:t>
      </w:r>
    </w:p>
    <w:p w14:paraId="684560A2" w14:textId="77777777" w:rsidR="001848A6" w:rsidRPr="00C75F09" w:rsidRDefault="001848A6" w:rsidP="001848A6">
      <w:pPr>
        <w:jc w:val="both"/>
        <w:rPr>
          <w:rFonts w:ascii="Times New Roman" w:hAnsi="Times New Roman" w:cs="Times New Roman"/>
          <w:sz w:val="22"/>
          <w:szCs w:val="22"/>
        </w:rPr>
      </w:pPr>
      <w:r w:rsidRPr="00C75F09">
        <w:rPr>
          <w:rFonts w:ascii="Times New Roman" w:hAnsi="Times New Roman" w:cs="Times New Roman"/>
          <w:sz w:val="22"/>
          <w:szCs w:val="22"/>
        </w:rPr>
        <w:t>Sonuç olarak, azınlık pay sahiplerinin haklarının etkin korunması, şirket yönetiminde şeffaflık, adil muamele ve güven ortamının tesis edilmesi açısından kritik öneme sahiptir.</w:t>
      </w:r>
    </w:p>
    <w:p w14:paraId="47B146DC"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2F4AEFA4"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3FD1FF24" w14:textId="40A5D62C" w:rsidR="00DE5F78" w:rsidRDefault="00DE5F78" w:rsidP="001848A6">
      <w:pPr>
        <w:tabs>
          <w:tab w:val="num" w:pos="360"/>
          <w:tab w:val="num" w:pos="567"/>
        </w:tabs>
        <w:spacing w:after="480" w:line="240" w:lineRule="auto"/>
        <w:textAlignment w:val="baseline"/>
        <w:rPr>
          <w:rFonts w:ascii="Times New Roman" w:hAnsi="Times New Roman" w:cs="Times New Roman"/>
          <w:b/>
          <w:bCs/>
          <w:sz w:val="22"/>
          <w:szCs w:val="22"/>
        </w:rPr>
      </w:pPr>
    </w:p>
    <w:p w14:paraId="2D471992"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4C9C1FD8"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3DBA3B70"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15FC94EF" w14:textId="55E4B10B" w:rsidR="001848A6" w:rsidRPr="001848A6" w:rsidRDefault="00776579" w:rsidP="00776579">
      <w:pPr>
        <w:tabs>
          <w:tab w:val="num" w:pos="360"/>
          <w:tab w:val="num" w:pos="567"/>
        </w:tabs>
        <w:spacing w:after="480" w:line="240" w:lineRule="auto"/>
        <w:jc w:val="right"/>
        <w:textAlignment w:val="baseline"/>
        <w:rPr>
          <w:rFonts w:ascii="Times New Roman" w:hAnsi="Times New Roman" w:cs="Times New Roman"/>
          <w:b/>
          <w:bCs/>
          <w:sz w:val="22"/>
          <w:szCs w:val="22"/>
        </w:rPr>
      </w:pPr>
      <w:r>
        <w:rPr>
          <w:rFonts w:ascii="Times New Roman" w:hAnsi="Times New Roman" w:cs="Times New Roman"/>
          <w:b/>
          <w:bCs/>
          <w:sz w:val="22"/>
          <w:szCs w:val="22"/>
        </w:rPr>
        <w:t>OCAK 2026</w:t>
      </w:r>
    </w:p>
    <w:p w14:paraId="5130F8F0" w14:textId="792132F0" w:rsidR="001848A6" w:rsidRPr="00EA5FB2" w:rsidRDefault="00DE5F78" w:rsidP="001848A6">
      <w:pPr>
        <w:pStyle w:val="ListeParagraf"/>
        <w:numPr>
          <w:ilvl w:val="0"/>
          <w:numId w:val="1"/>
        </w:numPr>
        <w:tabs>
          <w:tab w:val="clear" w:pos="720"/>
          <w:tab w:val="num" w:pos="360"/>
          <w:tab w:val="num" w:pos="567"/>
        </w:tabs>
        <w:spacing w:after="480" w:line="240" w:lineRule="auto"/>
        <w:ind w:left="0" w:hanging="284"/>
        <w:textAlignment w:val="baseline"/>
        <w:rPr>
          <w:rFonts w:ascii="Times New Roman" w:hAnsi="Times New Roman" w:cs="Times New Roman"/>
          <w:b/>
          <w:bCs/>
          <w:sz w:val="22"/>
          <w:szCs w:val="22"/>
        </w:rPr>
      </w:pPr>
      <w:r w:rsidRPr="00DE5F78">
        <w:rPr>
          <w:rFonts w:ascii="Times New Roman" w:hAnsi="Times New Roman" w:cs="Times New Roman"/>
          <w:b/>
          <w:bCs/>
          <w:sz w:val="22"/>
          <w:szCs w:val="22"/>
        </w:rPr>
        <w:t xml:space="preserve">ORTAKLIK YAPILARINDA UYUŞMAZLIĞIN İLK SİNYALLERİ: HANGİ İŞARETLERİ CİDDİYE ALMALISINIZ? </w:t>
      </w:r>
    </w:p>
    <w:p w14:paraId="79DF5E1A"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Ortaklık yapıları, başlangıçta taraflar arasında kurulan ortak hedefler ve güven ilişkisi üzerine inşa edilmekle birlikte, zaman içinde değişen beklentiler, büyüyen iş hacmi ve farklılaşan risk algıları nedeniyle zorlanabilmektedir. Çoğu ortaklıkta uyuşmazlıklar ani bir kırılma anıyla değil; günlük işleyişte ortaya çıkan ve başlangıçta önemsiz görülen işaretler üzerinden gelişmektedir. Bu süreç, çoğu zaman hukuki bir uyuşmazlığa dönüşmeden önce fiili uygulamalarda kendini göstermektedir.</w:t>
      </w:r>
    </w:p>
    <w:p w14:paraId="092A01C3"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Bu nedenle asıl mesele, uyuşmazlık ortaya çıktıktan sonra pozisyon almak değil; sürecin erken aşamalarında bu işaretleri fark ederek ortaklık yapısını yönetilebilir hâlde tutabilmektir. Zira uygulamada birçok uyuşmazlık, önlenebilir nitelikteyken zamanında müdahale edilmediği için derinleşmektedir.</w:t>
      </w:r>
    </w:p>
    <w:p w14:paraId="2B924220"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Karar Alma Süreçlerinde Aksamalar ve Tutarsızlık</w:t>
      </w:r>
    </w:p>
    <w:p w14:paraId="24FF8684"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 xml:space="preserve">Ortaklar arasında karar alma süreçlerinin yavaşlaması, belirli konuların sürekli ertelenmesi veya bazı kararların fiilen tek bir ortak tarafından alınmaya başlanması, ortak iradenin zayıfladığını gösteren ilk sinyaller arasında yer alır. Bu durum, özellikle Türk Ticaret Kanunu çerçevesinde tanımlanan yönetim ve temsil yetkilerinin fiili uygulamada aşınmaya başladığına işaret edebilir </w:t>
      </w:r>
      <w:proofErr w:type="gramStart"/>
      <w:r w:rsidRPr="006330CF">
        <w:rPr>
          <w:rFonts w:ascii="Times New Roman" w:hAnsi="Times New Roman" w:cs="Times New Roman"/>
          <w:sz w:val="22"/>
          <w:szCs w:val="22"/>
        </w:rPr>
        <w:t>Bu</w:t>
      </w:r>
      <w:proofErr w:type="gramEnd"/>
      <w:r w:rsidRPr="006330CF">
        <w:rPr>
          <w:rFonts w:ascii="Times New Roman" w:hAnsi="Times New Roman" w:cs="Times New Roman"/>
          <w:sz w:val="22"/>
          <w:szCs w:val="22"/>
        </w:rPr>
        <w:t xml:space="preserve"> da çoğu zaman yetki dağılımına ilişkin belirsizliklerden veya ortaklar arasındaki güven kaybından kaynaklanmaktadır.</w:t>
      </w:r>
    </w:p>
    <w:p w14:paraId="79D834F7"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Bu aşamada çözüm, karar alma mekanizmalarının fiilen nasıl işlediğinin açık biçimde değerlendirilmesidir. Yönetim kurulu, ortaklar kurulu veya benzeri organların hangi konularda, hangi çoğunlukla ve hangi usulle karar alacağı netleştirilmeli; fiili uygulamalar ile esas sözleşme ve/veya ortaklık sözleşmesi arasındaki uyum sağlanmalıdır. Karar süreçlerinin yazılı takibi ve düzenli toplantı pratiği, uyuşmazlık riskini azaltmaktadır.</w:t>
      </w:r>
    </w:p>
    <w:p w14:paraId="7674DEB7"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Bilgi Paylaşımında ve Şeffaflıkta Azalma</w:t>
      </w:r>
    </w:p>
    <w:p w14:paraId="7C90FD66"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Finansal verilerin geç paylaşılması, yönetim raporlarının eksik sunulması veya bazı bilgilerin sistematik biçimde paylaşım dışı bırakılması, ortaklar arasındaki güven ilişkisinin zedelendiğine işaret eder. Bilgiye eririmdeki bu tür sınırlamalar, denetim imkânını zayıflatmakta ve hukuki ihtilafların zeminini oluşturmaktadır.</w:t>
      </w:r>
    </w:p>
    <w:p w14:paraId="61563A0C"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Bu noktada çözüm, bilgi paylaşımının kişisel inisiyatiflere bırakılmamasıdır. Ortaklara sunulacak raporların kapsamı, periyodu ve formatı belirlenmeli; bilgi akışı yazılı kurallara bağlanmalıdır. Şeffaflığın kurumsal bir ilke hâline getirilmesi, kişisel gerilimlerin ortaklık yapısına yansımasını engellemektedir.</w:t>
      </w:r>
    </w:p>
    <w:p w14:paraId="43FDD246"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Yetki Aşımı ve Fiili Yönetim Değişiklikleri</w:t>
      </w:r>
    </w:p>
    <w:p w14:paraId="7B78A131"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 xml:space="preserve">Ortaklardan birinin, ortaklık sözleşmesinde veya esas sözleşmede tanımlı yetki sınırlarının dışına çıkarak fiili kararlar almaya başlaması, uyuşmazlığın derinleştiğini gösteren önemli bir işarettir. Bu tür durumlar, başlangıçta pratik gerekçelerle açıklansa dahi, uzun vadede ortaklık dengesini </w:t>
      </w:r>
      <w:r w:rsidRPr="006330CF">
        <w:rPr>
          <w:rFonts w:ascii="Times New Roman" w:hAnsi="Times New Roman" w:cs="Times New Roman"/>
          <w:sz w:val="22"/>
          <w:szCs w:val="22"/>
        </w:rPr>
        <w:lastRenderedPageBreak/>
        <w:t>bozabilmektedir. Bu tür fiili durumlar, ilerleyen aşamada yetkisiz işlem iddialarına ve geçerlilik tartışmalarına konu olabilmektedir</w:t>
      </w:r>
    </w:p>
    <w:p w14:paraId="5DCCC5DE"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Bu aşamada yapılması gereken, yetki ve temsil sınırlarının yeniden ele alınmasıdır. Yetki matrisleri güncellenmeli, imza yetkileri netleştirilmeli ve fiili uygulamalar yazılı çerçeveye çekilmelidir. Yetkinin kişilere değil, pozisyonlara bağlı olarak tanımlanması, çatıma riskini azaltmaktadır.</w:t>
      </w:r>
    </w:p>
    <w:p w14:paraId="13CFB33D"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Ortaklık Sözleşmesinin Fiilen Göz Ardı Edilmesi</w:t>
      </w:r>
    </w:p>
    <w:p w14:paraId="221BD99E"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Ortaklık sözleşmesinde yer alan karar alma usulleri, veto hakları, kar dağıtım esasları veya yönetim yetkilerine ilişkin hükümlerin uygulanmaması, taraflar arasındaki hukuki zemini zayıflatmaktadır. Bu durum, çoğu zaman sözleşmenin güncel ihtiyaçları karşılamadığı veya tarafların farklı beklentiler geliştirdiği anlamına gelmektedir.</w:t>
      </w:r>
    </w:p>
    <w:p w14:paraId="21784D8E"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 xml:space="preserve">Bu noktada çözüm, sözleşmenin varlığına güvenmek değil; sözleşmenin güncelliğini değerlendirmektir. Ortaklık sözleşmesi, fiili işleyişle uyumlu hâle getirilmeli; ihtiyaç hâlinde </w:t>
      </w:r>
      <w:proofErr w:type="gramStart"/>
      <w:r w:rsidRPr="006330CF">
        <w:rPr>
          <w:rFonts w:ascii="Times New Roman" w:hAnsi="Times New Roman" w:cs="Times New Roman"/>
          <w:sz w:val="22"/>
          <w:szCs w:val="22"/>
        </w:rPr>
        <w:t>revize edilmelidir</w:t>
      </w:r>
      <w:proofErr w:type="gramEnd"/>
      <w:r w:rsidRPr="006330CF">
        <w:rPr>
          <w:rFonts w:ascii="Times New Roman" w:hAnsi="Times New Roman" w:cs="Times New Roman"/>
          <w:sz w:val="22"/>
          <w:szCs w:val="22"/>
        </w:rPr>
        <w:t>. Sözleşmenin yaşayan bir belge olarak ele alınması, uyuşmazlıkların büyümesini engellemektedir.</w:t>
      </w:r>
    </w:p>
    <w:p w14:paraId="1F43FB2F"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İletişim Biçiminde Sertleşme ve Resmileşme</w:t>
      </w:r>
    </w:p>
    <w:p w14:paraId="0E07EF34"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Ortaklar arasındaki iletişim dilinin değirmesi, yazılı iletişimin artması, yüz yüze görüşmelerden kaçınılması veya iletişimin yalnızca avukatlar ve resmî kanallar üzerinden yürütülmeye başlanması, hukuki pozisyonların şekillenmeye başladığını göstermektedir.</w:t>
      </w:r>
    </w:p>
    <w:p w14:paraId="6170490C"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Bu aşamada çözüm, iletişimin tamamen kopmasına izin vermemektir. Hukuki danışmanlık desteğiyle yapılandırılmış toplantılar yapılması, beklentilerin ve sorun alanlarının açık biçimde konuşulması, sürecin yönetilebilir kalmasını sağlayabilmektedir.</w:t>
      </w:r>
    </w:p>
    <w:p w14:paraId="2BAF432D"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Çıkış Senaryolarının Gündeme Gelmesi</w:t>
      </w:r>
    </w:p>
    <w:p w14:paraId="7DB0EBD0"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Pay devri, ayrılma hakkı veya ortaklıktan çıkış senaryolarının sıkça dile getirilmesi, uyuşmazlığın artık yapısal bir boyut kazandığını göstermektedir. Bu aşamada belirsizlik, şirketin operasyonel sürdürülebilirliğini de olumsuz etkileyebilmektedir.</w:t>
      </w:r>
    </w:p>
    <w:p w14:paraId="07537BEF"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Bu noktada çözüm, çıkış senaryolarının krize dönüşmeden ele alınmasıdır. Pay devri, ayrılma ve değerleme mekanizmaları önceden netleştirilmeli; olası çıkışların şirket faaliyetlerini sekteye uğratmayacak biçimde planlanması sağlanmalıdır.</w:t>
      </w:r>
    </w:p>
    <w:p w14:paraId="28C62C8F" w14:textId="77777777" w:rsidR="00130175" w:rsidRPr="006330CF" w:rsidRDefault="00130175" w:rsidP="00130175">
      <w:pPr>
        <w:jc w:val="both"/>
        <w:rPr>
          <w:rFonts w:ascii="Times New Roman" w:hAnsi="Times New Roman" w:cs="Times New Roman"/>
          <w:b/>
          <w:bCs/>
          <w:sz w:val="22"/>
          <w:szCs w:val="22"/>
        </w:rPr>
      </w:pPr>
      <w:r w:rsidRPr="006330CF">
        <w:rPr>
          <w:rFonts w:ascii="Times New Roman" w:hAnsi="Times New Roman" w:cs="Times New Roman"/>
          <w:b/>
          <w:bCs/>
          <w:sz w:val="22"/>
          <w:szCs w:val="22"/>
        </w:rPr>
        <w:t>Kısa Değerlendirme</w:t>
      </w:r>
    </w:p>
    <w:p w14:paraId="55A82E48"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Ortaklık ilişkilerinde en kritik eşik, sorunların teknik mi yoksa ilişkisel mi olduğunun ayırt edilemediği dönemdir. Bu aşamada taraflar çoğu zaman yaşananları geçici bir uyumsuzluk olarak görme eğilimindedir. Ancak uygulamada, bu belirsiz dönemin uzaması; tarafların pozisyon almaya başlamasına, kararların kişiselleşmesine ve hukuki reflekslerin devreye girmesine neden olmaktadır. Bu noktadan sonra mesele, yaşanan sorunun içeriğinden çok, tarafların birbirine nasıl baktığıyla şekillenmektedir.</w:t>
      </w:r>
    </w:p>
    <w:p w14:paraId="3004732C" w14:textId="77777777" w:rsidR="00130175" w:rsidRPr="006330CF" w:rsidRDefault="00130175" w:rsidP="00130175">
      <w:pPr>
        <w:jc w:val="both"/>
        <w:rPr>
          <w:rFonts w:ascii="Times New Roman" w:hAnsi="Times New Roman" w:cs="Times New Roman"/>
          <w:sz w:val="22"/>
          <w:szCs w:val="22"/>
        </w:rPr>
      </w:pPr>
      <w:r w:rsidRPr="006330CF">
        <w:rPr>
          <w:rFonts w:ascii="Times New Roman" w:hAnsi="Times New Roman" w:cs="Times New Roman"/>
          <w:sz w:val="22"/>
          <w:szCs w:val="22"/>
        </w:rPr>
        <w:t>Deneyim, ortaklık yapılarında sağlıklı sonucun çoğu zaman “haklılık” tartışmasından değil, doğru zamanlamadan geçtiğini göstermektedir. Erken aşamada yapılan değerlendirmeler, taraflara seçeneklerini geniş bir çerçevede ele alma imkânı sunarken; geç kalınan müdahaleler karar alanını daraltmaktadır. Bu nedenle ortaklık ilişkilerinde asıl değer, sorun ortaya çıktığında değil; sorun şekil değiştirmeden önce fark edildiğinde ortaya çıkmaktadır.</w:t>
      </w:r>
    </w:p>
    <w:p w14:paraId="27A6E270"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7227E971" w14:textId="77777777" w:rsidR="001848A6" w:rsidRDefault="001848A6" w:rsidP="001848A6">
      <w:pPr>
        <w:tabs>
          <w:tab w:val="num" w:pos="360"/>
          <w:tab w:val="num" w:pos="567"/>
        </w:tabs>
        <w:spacing w:after="480" w:line="240" w:lineRule="auto"/>
        <w:textAlignment w:val="baseline"/>
        <w:rPr>
          <w:rFonts w:ascii="Times New Roman" w:hAnsi="Times New Roman" w:cs="Times New Roman"/>
          <w:b/>
          <w:bCs/>
          <w:sz w:val="22"/>
          <w:szCs w:val="22"/>
        </w:rPr>
      </w:pPr>
    </w:p>
    <w:p w14:paraId="715D5F05" w14:textId="1D8536D4" w:rsidR="00921A97" w:rsidRPr="001848A6" w:rsidRDefault="00776579" w:rsidP="00776579">
      <w:pPr>
        <w:tabs>
          <w:tab w:val="num" w:pos="360"/>
          <w:tab w:val="num" w:pos="567"/>
        </w:tabs>
        <w:spacing w:after="480" w:line="240" w:lineRule="auto"/>
        <w:jc w:val="right"/>
        <w:textAlignment w:val="baseline"/>
        <w:rPr>
          <w:rFonts w:ascii="Times New Roman" w:hAnsi="Times New Roman" w:cs="Times New Roman"/>
          <w:b/>
          <w:bCs/>
          <w:sz w:val="22"/>
          <w:szCs w:val="22"/>
        </w:rPr>
      </w:pPr>
      <w:r>
        <w:rPr>
          <w:rFonts w:ascii="Times New Roman" w:hAnsi="Times New Roman" w:cs="Times New Roman"/>
          <w:b/>
          <w:bCs/>
          <w:sz w:val="22"/>
          <w:szCs w:val="22"/>
        </w:rPr>
        <w:t>OCAK 2026</w:t>
      </w:r>
    </w:p>
    <w:p w14:paraId="0A965827" w14:textId="77777777" w:rsidR="00DE5F78" w:rsidRDefault="00DE5F78" w:rsidP="00DE5F78">
      <w:pPr>
        <w:pStyle w:val="ListeParagraf"/>
        <w:numPr>
          <w:ilvl w:val="0"/>
          <w:numId w:val="1"/>
        </w:numPr>
        <w:tabs>
          <w:tab w:val="clear" w:pos="720"/>
          <w:tab w:val="num" w:pos="360"/>
          <w:tab w:val="num" w:pos="567"/>
        </w:tabs>
        <w:spacing w:after="480" w:line="240" w:lineRule="auto"/>
        <w:ind w:left="0" w:hanging="284"/>
        <w:textAlignment w:val="baseline"/>
        <w:rPr>
          <w:rFonts w:ascii="Times New Roman" w:hAnsi="Times New Roman" w:cs="Times New Roman"/>
          <w:b/>
          <w:bCs/>
          <w:sz w:val="22"/>
          <w:szCs w:val="22"/>
        </w:rPr>
      </w:pPr>
      <w:r w:rsidRPr="00DE5F78">
        <w:rPr>
          <w:rFonts w:ascii="Times New Roman" w:hAnsi="Times New Roman" w:cs="Times New Roman"/>
          <w:b/>
          <w:bCs/>
          <w:sz w:val="22"/>
          <w:szCs w:val="22"/>
        </w:rPr>
        <w:t xml:space="preserve">ŞİRKET SIRLARININ KORUNMASI VE PAY SAHİPLERİNE BİLGİ VERME HAKKI ARASINDAKİ DENGE </w:t>
      </w:r>
    </w:p>
    <w:p w14:paraId="6AADEE14"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Şirket yönetiminin en kritik yükümlülüklerinden biri, işletmeye ilişkin stratejik, teknik ve ticari bilgilerin gizliliğini korumaktır. Bu bilgiler, şirketin rekabet gücünü doğrudan etkileyen “şirket sırrı” niteliğindeki verilerdir. Öte yandan, pay sahiplerinin TTK’dan doğan bilgi alma ve inceleme hakları, kurumsal yönetim ilkelerinin ve pay sahipliği demokrasisinin vazgeçilmez unsurudur. Bu iki menfaat kimi zaman çatışabilir.  Pay sahibinin bilgi talebi şirketin ticari sırlarını ifşa riski yaratabilir; aşırı gizlilik ise pay sahiplerinin haklarını işlevsiz hale getirebilir.  Bu nedenle uygulamada asıl mesele, şirket sırrının korunması ile pay sahiplerinin bilgi alma hakkının dengeli bir şekilde uygulanmasıdır.</w:t>
      </w:r>
    </w:p>
    <w:p w14:paraId="2D937279"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Aşağıda bu denge; şirket sırrı kavramı, pay sahiplerinin bilgi alma hakkının kapsamı ve sınırları ile yönetim kurulunun takdir yetkisi çerçevesinde ele alınmaktadır.</w:t>
      </w:r>
    </w:p>
    <w:p w14:paraId="0C9B5371" w14:textId="77777777" w:rsidR="00B07941" w:rsidRPr="00D07E9C" w:rsidRDefault="00B07941" w:rsidP="00B07941">
      <w:pPr>
        <w:jc w:val="both"/>
        <w:rPr>
          <w:rFonts w:ascii="Times New Roman" w:hAnsi="Times New Roman" w:cs="Times New Roman"/>
          <w:b/>
          <w:bCs/>
          <w:sz w:val="22"/>
          <w:szCs w:val="22"/>
        </w:rPr>
      </w:pPr>
      <w:r w:rsidRPr="00D07E9C">
        <w:rPr>
          <w:rFonts w:ascii="Times New Roman" w:hAnsi="Times New Roman" w:cs="Times New Roman"/>
          <w:b/>
          <w:bCs/>
          <w:sz w:val="22"/>
          <w:szCs w:val="22"/>
        </w:rPr>
        <w:t>Şirket Sırrı Kavramı ve Korunmasının Hukuki Çerçevesi</w:t>
      </w:r>
    </w:p>
    <w:p w14:paraId="3DDCD477" w14:textId="77777777" w:rsidR="00B07941" w:rsidRPr="00D07E9C" w:rsidRDefault="00B07941" w:rsidP="00B07941">
      <w:pPr>
        <w:numPr>
          <w:ilvl w:val="0"/>
          <w:numId w:val="13"/>
        </w:numPr>
        <w:jc w:val="both"/>
        <w:rPr>
          <w:rFonts w:ascii="Times New Roman" w:hAnsi="Times New Roman" w:cs="Times New Roman"/>
          <w:b/>
          <w:bCs/>
          <w:sz w:val="22"/>
          <w:szCs w:val="22"/>
        </w:rPr>
      </w:pPr>
      <w:r w:rsidRPr="00D07E9C">
        <w:rPr>
          <w:rFonts w:ascii="Times New Roman" w:hAnsi="Times New Roman" w:cs="Times New Roman"/>
          <w:b/>
          <w:bCs/>
          <w:sz w:val="22"/>
          <w:szCs w:val="22"/>
        </w:rPr>
        <w:t>Şirket Sırlarının Niteliği</w:t>
      </w:r>
    </w:p>
    <w:p w14:paraId="5BCFBED5"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Şirket sırrı, işletmenin faaliyetlerine ilişkin kamuya açıklanmamış, yalnızca yetkili kişiler tarafından bilinen, ekonomik değer taşıyan ve gizli kalması şirket için menfaat sağlayan bilgiler olarak tanımlanır. Bu kapsamda özellikle:</w:t>
      </w:r>
    </w:p>
    <w:p w14:paraId="4BD8D6E8" w14:textId="77777777" w:rsidR="00B07941" w:rsidRPr="00D07E9C" w:rsidRDefault="00B07941" w:rsidP="00B07941">
      <w:pPr>
        <w:numPr>
          <w:ilvl w:val="0"/>
          <w:numId w:val="7"/>
        </w:numPr>
        <w:jc w:val="both"/>
        <w:rPr>
          <w:rFonts w:ascii="Times New Roman" w:hAnsi="Times New Roman" w:cs="Times New Roman"/>
          <w:sz w:val="22"/>
          <w:szCs w:val="22"/>
        </w:rPr>
      </w:pPr>
      <w:r w:rsidRPr="00D07E9C">
        <w:rPr>
          <w:rFonts w:ascii="Times New Roman" w:hAnsi="Times New Roman" w:cs="Times New Roman"/>
          <w:sz w:val="22"/>
          <w:szCs w:val="22"/>
        </w:rPr>
        <w:t>Üretim ve teknolojiye ilişkin bilgiler</w:t>
      </w:r>
    </w:p>
    <w:p w14:paraId="58B960D7" w14:textId="77777777" w:rsidR="00B07941" w:rsidRPr="00D07E9C" w:rsidRDefault="00B07941" w:rsidP="00B07941">
      <w:pPr>
        <w:numPr>
          <w:ilvl w:val="0"/>
          <w:numId w:val="7"/>
        </w:numPr>
        <w:jc w:val="both"/>
        <w:rPr>
          <w:rFonts w:ascii="Times New Roman" w:hAnsi="Times New Roman" w:cs="Times New Roman"/>
          <w:sz w:val="22"/>
          <w:szCs w:val="22"/>
        </w:rPr>
      </w:pPr>
      <w:r w:rsidRPr="00D07E9C">
        <w:rPr>
          <w:rFonts w:ascii="Times New Roman" w:hAnsi="Times New Roman" w:cs="Times New Roman"/>
          <w:sz w:val="22"/>
          <w:szCs w:val="22"/>
        </w:rPr>
        <w:t>Fiyatlandırma politikaları</w:t>
      </w:r>
    </w:p>
    <w:p w14:paraId="5AC4FAC9" w14:textId="77777777" w:rsidR="00B07941" w:rsidRPr="00D07E9C" w:rsidRDefault="00B07941" w:rsidP="00B07941">
      <w:pPr>
        <w:numPr>
          <w:ilvl w:val="0"/>
          <w:numId w:val="7"/>
        </w:numPr>
        <w:jc w:val="both"/>
        <w:rPr>
          <w:rFonts w:ascii="Times New Roman" w:hAnsi="Times New Roman" w:cs="Times New Roman"/>
          <w:sz w:val="22"/>
          <w:szCs w:val="22"/>
        </w:rPr>
      </w:pPr>
      <w:r w:rsidRPr="00D07E9C">
        <w:rPr>
          <w:rFonts w:ascii="Times New Roman" w:hAnsi="Times New Roman" w:cs="Times New Roman"/>
          <w:sz w:val="22"/>
          <w:szCs w:val="22"/>
        </w:rPr>
        <w:t>Stratejik planlar</w:t>
      </w:r>
    </w:p>
    <w:p w14:paraId="51D5D353" w14:textId="77777777" w:rsidR="00B07941" w:rsidRPr="00D07E9C" w:rsidRDefault="00B07941" w:rsidP="00B07941">
      <w:pPr>
        <w:numPr>
          <w:ilvl w:val="0"/>
          <w:numId w:val="7"/>
        </w:numPr>
        <w:jc w:val="both"/>
        <w:rPr>
          <w:rFonts w:ascii="Times New Roman" w:hAnsi="Times New Roman" w:cs="Times New Roman"/>
          <w:sz w:val="22"/>
          <w:szCs w:val="22"/>
        </w:rPr>
      </w:pPr>
      <w:r w:rsidRPr="00D07E9C">
        <w:rPr>
          <w:rFonts w:ascii="Times New Roman" w:hAnsi="Times New Roman" w:cs="Times New Roman"/>
          <w:sz w:val="22"/>
          <w:szCs w:val="22"/>
        </w:rPr>
        <w:t>Müşteri portföyü ve pazar analizleri</w:t>
      </w:r>
    </w:p>
    <w:p w14:paraId="1318FCFC" w14:textId="77777777" w:rsidR="00B07941" w:rsidRPr="00D07E9C" w:rsidRDefault="00B07941" w:rsidP="00B07941">
      <w:pPr>
        <w:numPr>
          <w:ilvl w:val="0"/>
          <w:numId w:val="7"/>
        </w:numPr>
        <w:jc w:val="both"/>
        <w:rPr>
          <w:rFonts w:ascii="Times New Roman" w:hAnsi="Times New Roman" w:cs="Times New Roman"/>
          <w:sz w:val="22"/>
          <w:szCs w:val="22"/>
        </w:rPr>
      </w:pPr>
      <w:r w:rsidRPr="00D07E9C">
        <w:rPr>
          <w:rFonts w:ascii="Times New Roman" w:hAnsi="Times New Roman" w:cs="Times New Roman"/>
          <w:sz w:val="22"/>
          <w:szCs w:val="22"/>
        </w:rPr>
        <w:t>Ar-Ge çalışmaları</w:t>
      </w:r>
    </w:p>
    <w:p w14:paraId="40ADFD41" w14:textId="77777777" w:rsidR="00B07941" w:rsidRPr="00D07E9C" w:rsidRDefault="00B07941" w:rsidP="00B07941">
      <w:pPr>
        <w:numPr>
          <w:ilvl w:val="0"/>
          <w:numId w:val="7"/>
        </w:numPr>
        <w:jc w:val="both"/>
        <w:rPr>
          <w:rFonts w:ascii="Times New Roman" w:hAnsi="Times New Roman" w:cs="Times New Roman"/>
          <w:sz w:val="22"/>
          <w:szCs w:val="22"/>
        </w:rPr>
      </w:pPr>
      <w:r w:rsidRPr="00D07E9C">
        <w:rPr>
          <w:rFonts w:ascii="Times New Roman" w:hAnsi="Times New Roman" w:cs="Times New Roman"/>
          <w:sz w:val="22"/>
          <w:szCs w:val="22"/>
        </w:rPr>
        <w:t>Tedarik sözleşmeleri ve mali projeksiyonlar</w:t>
      </w:r>
    </w:p>
    <w:p w14:paraId="6DD978CF"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şirket sırrı olarak kabul edilir. Ticari sırlar aynı zamanda FSEK, TTK, TBK, Türk Ceza Kanunu ve haksız rekabet düzenlemeleri kapsamında korunur.</w:t>
      </w:r>
    </w:p>
    <w:p w14:paraId="4AFC8101" w14:textId="77777777" w:rsidR="00B07941" w:rsidRPr="00D07E9C" w:rsidRDefault="00B07941" w:rsidP="00B07941">
      <w:pPr>
        <w:numPr>
          <w:ilvl w:val="0"/>
          <w:numId w:val="13"/>
        </w:numPr>
        <w:jc w:val="both"/>
        <w:rPr>
          <w:rFonts w:ascii="Times New Roman" w:hAnsi="Times New Roman" w:cs="Times New Roman"/>
          <w:b/>
          <w:bCs/>
          <w:sz w:val="22"/>
          <w:szCs w:val="22"/>
        </w:rPr>
      </w:pPr>
      <w:r w:rsidRPr="00D07E9C">
        <w:rPr>
          <w:rFonts w:ascii="Times New Roman" w:hAnsi="Times New Roman" w:cs="Times New Roman"/>
          <w:b/>
          <w:bCs/>
          <w:sz w:val="22"/>
          <w:szCs w:val="22"/>
        </w:rPr>
        <w:t>Şirket Sırlarının Korunmasına İlişkin Yönetim Yükümlülükleri</w:t>
      </w:r>
    </w:p>
    <w:p w14:paraId="53EDDB1A"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Yönetim kurulu, şirketin ticari sırlarının korunmasına yönelik:</w:t>
      </w:r>
    </w:p>
    <w:p w14:paraId="66FB692E" w14:textId="77777777" w:rsidR="00B07941" w:rsidRPr="00D07E9C" w:rsidRDefault="00B07941" w:rsidP="00B07941">
      <w:pPr>
        <w:numPr>
          <w:ilvl w:val="0"/>
          <w:numId w:val="8"/>
        </w:numPr>
        <w:jc w:val="both"/>
        <w:rPr>
          <w:rFonts w:ascii="Times New Roman" w:hAnsi="Times New Roman" w:cs="Times New Roman"/>
          <w:sz w:val="22"/>
          <w:szCs w:val="22"/>
        </w:rPr>
      </w:pPr>
      <w:r w:rsidRPr="00D07E9C">
        <w:rPr>
          <w:rFonts w:ascii="Times New Roman" w:hAnsi="Times New Roman" w:cs="Times New Roman"/>
          <w:sz w:val="22"/>
          <w:szCs w:val="22"/>
        </w:rPr>
        <w:t>Gizlilik politikalarının oluşturulması</w:t>
      </w:r>
    </w:p>
    <w:p w14:paraId="55FF09C3" w14:textId="77777777" w:rsidR="00B07941" w:rsidRPr="00D07E9C" w:rsidRDefault="00B07941" w:rsidP="00B07941">
      <w:pPr>
        <w:numPr>
          <w:ilvl w:val="0"/>
          <w:numId w:val="8"/>
        </w:numPr>
        <w:jc w:val="both"/>
        <w:rPr>
          <w:rFonts w:ascii="Times New Roman" w:hAnsi="Times New Roman" w:cs="Times New Roman"/>
          <w:sz w:val="22"/>
          <w:szCs w:val="22"/>
        </w:rPr>
      </w:pPr>
      <w:r w:rsidRPr="00D07E9C">
        <w:rPr>
          <w:rFonts w:ascii="Times New Roman" w:hAnsi="Times New Roman" w:cs="Times New Roman"/>
          <w:sz w:val="22"/>
          <w:szCs w:val="22"/>
        </w:rPr>
        <w:t>Sızdırmazlık ve yetki matrislerinin uygulanması</w:t>
      </w:r>
    </w:p>
    <w:p w14:paraId="342667F0" w14:textId="77777777" w:rsidR="00B07941" w:rsidRPr="00D07E9C" w:rsidRDefault="00B07941" w:rsidP="00B07941">
      <w:pPr>
        <w:numPr>
          <w:ilvl w:val="0"/>
          <w:numId w:val="8"/>
        </w:numPr>
        <w:jc w:val="both"/>
        <w:rPr>
          <w:rFonts w:ascii="Times New Roman" w:hAnsi="Times New Roman" w:cs="Times New Roman"/>
          <w:sz w:val="22"/>
          <w:szCs w:val="22"/>
        </w:rPr>
      </w:pPr>
      <w:r w:rsidRPr="00D07E9C">
        <w:rPr>
          <w:rFonts w:ascii="Times New Roman" w:hAnsi="Times New Roman" w:cs="Times New Roman"/>
          <w:sz w:val="22"/>
          <w:szCs w:val="22"/>
        </w:rPr>
        <w:t>Erişim kontrollerinin belirlenmesi</w:t>
      </w:r>
    </w:p>
    <w:p w14:paraId="406E43D2" w14:textId="77777777" w:rsidR="00B07941" w:rsidRPr="00D07E9C" w:rsidRDefault="00B07941" w:rsidP="00B07941">
      <w:pPr>
        <w:numPr>
          <w:ilvl w:val="0"/>
          <w:numId w:val="8"/>
        </w:numPr>
        <w:jc w:val="both"/>
        <w:rPr>
          <w:rFonts w:ascii="Times New Roman" w:hAnsi="Times New Roman" w:cs="Times New Roman"/>
          <w:sz w:val="22"/>
          <w:szCs w:val="22"/>
        </w:rPr>
      </w:pPr>
      <w:r w:rsidRPr="00D07E9C">
        <w:rPr>
          <w:rFonts w:ascii="Times New Roman" w:hAnsi="Times New Roman" w:cs="Times New Roman"/>
          <w:sz w:val="22"/>
          <w:szCs w:val="22"/>
        </w:rPr>
        <w:t>Çalışan ve üçüncü taraflarla gizlilik sözleşmeleri yapılması</w:t>
      </w:r>
    </w:p>
    <w:p w14:paraId="612C9CC3"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gibi önlemleri almakla yükümlüdür.</w:t>
      </w:r>
    </w:p>
    <w:p w14:paraId="0786DE01"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lastRenderedPageBreak/>
        <w:t>Bu yükümlülük, pay sahiplerine bilgi verme hakkını değerlendirirken yönetim kurulunun “şirket menfaatini” öncelikle gözetmesine de zemin oluşturur.</w:t>
      </w:r>
    </w:p>
    <w:p w14:paraId="5BFF74D3" w14:textId="77777777" w:rsidR="00B07941" w:rsidRPr="00D07E9C" w:rsidRDefault="00B07941" w:rsidP="00B07941">
      <w:pPr>
        <w:jc w:val="both"/>
        <w:rPr>
          <w:rFonts w:ascii="Times New Roman" w:hAnsi="Times New Roman" w:cs="Times New Roman"/>
          <w:b/>
          <w:bCs/>
          <w:sz w:val="22"/>
          <w:szCs w:val="22"/>
        </w:rPr>
      </w:pPr>
    </w:p>
    <w:p w14:paraId="72319FC9" w14:textId="77777777" w:rsidR="00B07941" w:rsidRPr="00D07E9C" w:rsidRDefault="00B07941" w:rsidP="00B07941">
      <w:pPr>
        <w:jc w:val="both"/>
        <w:rPr>
          <w:rFonts w:ascii="Times New Roman" w:hAnsi="Times New Roman" w:cs="Times New Roman"/>
          <w:b/>
          <w:bCs/>
          <w:sz w:val="22"/>
          <w:szCs w:val="22"/>
        </w:rPr>
      </w:pPr>
    </w:p>
    <w:p w14:paraId="74CBD9C1" w14:textId="77777777" w:rsidR="00B07941" w:rsidRPr="00D07E9C" w:rsidRDefault="00B07941" w:rsidP="00B07941">
      <w:pPr>
        <w:jc w:val="both"/>
        <w:rPr>
          <w:rFonts w:ascii="Times New Roman" w:hAnsi="Times New Roman" w:cs="Times New Roman"/>
          <w:b/>
          <w:bCs/>
          <w:sz w:val="22"/>
          <w:szCs w:val="22"/>
        </w:rPr>
      </w:pPr>
      <w:r w:rsidRPr="00D07E9C">
        <w:rPr>
          <w:rFonts w:ascii="Times New Roman" w:hAnsi="Times New Roman" w:cs="Times New Roman"/>
          <w:b/>
          <w:bCs/>
          <w:sz w:val="22"/>
          <w:szCs w:val="22"/>
        </w:rPr>
        <w:t>Pay Sahiplerinin Bilgi Alma ve İnceleme Hakkı</w:t>
      </w:r>
    </w:p>
    <w:p w14:paraId="4B6DA524" w14:textId="77777777" w:rsidR="00B07941" w:rsidRPr="00D07E9C" w:rsidRDefault="00B07941" w:rsidP="00B07941">
      <w:pPr>
        <w:numPr>
          <w:ilvl w:val="0"/>
          <w:numId w:val="14"/>
        </w:numPr>
        <w:jc w:val="both"/>
        <w:rPr>
          <w:rFonts w:ascii="Times New Roman" w:hAnsi="Times New Roman" w:cs="Times New Roman"/>
          <w:b/>
          <w:bCs/>
          <w:sz w:val="22"/>
          <w:szCs w:val="22"/>
        </w:rPr>
      </w:pPr>
      <w:r w:rsidRPr="00D07E9C">
        <w:rPr>
          <w:rFonts w:ascii="Times New Roman" w:hAnsi="Times New Roman" w:cs="Times New Roman"/>
          <w:b/>
          <w:bCs/>
          <w:sz w:val="22"/>
          <w:szCs w:val="22"/>
        </w:rPr>
        <w:t xml:space="preserve"> Pay Sahipliği Bilgi Alma Hakkının Kapsamı</w:t>
      </w:r>
    </w:p>
    <w:p w14:paraId="486542CD"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Pay sahiplerinin bilgi alma ve inceleme hakkı TTK ile güvence altına alınmıştır. Bilgi alma hakkı kural olarak, anonim şirketin genel kurulunda, yönetim kuruluna ve denetçilere soru sormak ve bilgi talep etmek suretiyle kullanılabilen bir haktır (TK m. 437/2). TTK m. 437/1 uyarınca şirketin finansal tabloları, yönetim kurulunun yıllık faaliyet raporu, denetleme raporları ve yönetim kurulunun kar dağıtım önerisi genel kurul toplantısından en az on beş gün önce pay sahiplerinin incelemesine hazır bulundurulur. Pay sahibi;</w:t>
      </w:r>
    </w:p>
    <w:p w14:paraId="6FC07B73" w14:textId="77777777" w:rsidR="00B07941" w:rsidRPr="00D07E9C" w:rsidRDefault="00B07941" w:rsidP="00B07941">
      <w:pPr>
        <w:numPr>
          <w:ilvl w:val="0"/>
          <w:numId w:val="9"/>
        </w:numPr>
        <w:jc w:val="both"/>
        <w:rPr>
          <w:rFonts w:ascii="Times New Roman" w:hAnsi="Times New Roman" w:cs="Times New Roman"/>
          <w:sz w:val="22"/>
          <w:szCs w:val="22"/>
        </w:rPr>
      </w:pPr>
      <w:r w:rsidRPr="00D07E9C">
        <w:rPr>
          <w:rFonts w:ascii="Times New Roman" w:hAnsi="Times New Roman" w:cs="Times New Roman"/>
          <w:sz w:val="22"/>
          <w:szCs w:val="22"/>
        </w:rPr>
        <w:t>Genel kurulda şirket faaliyetlerine ilişkin soru sorabilir,</w:t>
      </w:r>
    </w:p>
    <w:p w14:paraId="464CE7D5" w14:textId="77777777" w:rsidR="00B07941" w:rsidRPr="00D07E9C" w:rsidRDefault="00B07941" w:rsidP="00B07941">
      <w:pPr>
        <w:numPr>
          <w:ilvl w:val="0"/>
          <w:numId w:val="9"/>
        </w:numPr>
        <w:jc w:val="both"/>
        <w:rPr>
          <w:rFonts w:ascii="Times New Roman" w:hAnsi="Times New Roman" w:cs="Times New Roman"/>
          <w:sz w:val="22"/>
          <w:szCs w:val="22"/>
        </w:rPr>
      </w:pPr>
      <w:r w:rsidRPr="00D07E9C">
        <w:rPr>
          <w:rFonts w:ascii="Times New Roman" w:hAnsi="Times New Roman" w:cs="Times New Roman"/>
          <w:sz w:val="22"/>
          <w:szCs w:val="22"/>
        </w:rPr>
        <w:t>Yönetimden belli konularda bilgi isteyebilir,</w:t>
      </w:r>
    </w:p>
    <w:p w14:paraId="0F66B65E" w14:textId="77777777" w:rsidR="00B07941" w:rsidRPr="00D07E9C" w:rsidRDefault="00B07941" w:rsidP="00B07941">
      <w:pPr>
        <w:numPr>
          <w:ilvl w:val="0"/>
          <w:numId w:val="9"/>
        </w:numPr>
        <w:jc w:val="both"/>
        <w:rPr>
          <w:rFonts w:ascii="Times New Roman" w:hAnsi="Times New Roman" w:cs="Times New Roman"/>
          <w:sz w:val="22"/>
          <w:szCs w:val="22"/>
        </w:rPr>
      </w:pPr>
      <w:r w:rsidRPr="00D07E9C">
        <w:rPr>
          <w:rFonts w:ascii="Times New Roman" w:hAnsi="Times New Roman" w:cs="Times New Roman"/>
          <w:sz w:val="22"/>
          <w:szCs w:val="22"/>
        </w:rPr>
        <w:t>Finansal tablolar, yönetim kurulu raporları ve denetim raporlarını inceleyebilir,</w:t>
      </w:r>
    </w:p>
    <w:p w14:paraId="726EDB68" w14:textId="77777777" w:rsidR="00B07941" w:rsidRPr="00D07E9C" w:rsidRDefault="00B07941" w:rsidP="00B07941">
      <w:pPr>
        <w:numPr>
          <w:ilvl w:val="0"/>
          <w:numId w:val="9"/>
        </w:numPr>
        <w:jc w:val="both"/>
        <w:rPr>
          <w:rFonts w:ascii="Times New Roman" w:hAnsi="Times New Roman" w:cs="Times New Roman"/>
          <w:sz w:val="22"/>
          <w:szCs w:val="22"/>
        </w:rPr>
      </w:pPr>
      <w:r w:rsidRPr="00D07E9C">
        <w:rPr>
          <w:rFonts w:ascii="Times New Roman" w:hAnsi="Times New Roman" w:cs="Times New Roman"/>
          <w:sz w:val="22"/>
          <w:szCs w:val="22"/>
        </w:rPr>
        <w:t>Defter ve belge inceleme talebinde bulunabilir.</w:t>
      </w:r>
    </w:p>
    <w:p w14:paraId="21E42BE1"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Bu hak, malvarlığı hakları kadar önemli olan yönetime katılma ve denetim fonksiyonunun temel aracıdır.</w:t>
      </w:r>
    </w:p>
    <w:p w14:paraId="49741D65" w14:textId="77777777" w:rsidR="00B07941" w:rsidRPr="00D07E9C" w:rsidRDefault="00B07941" w:rsidP="00B07941">
      <w:pPr>
        <w:numPr>
          <w:ilvl w:val="0"/>
          <w:numId w:val="14"/>
        </w:numPr>
        <w:jc w:val="both"/>
        <w:rPr>
          <w:rFonts w:ascii="Times New Roman" w:hAnsi="Times New Roman" w:cs="Times New Roman"/>
          <w:b/>
          <w:bCs/>
          <w:sz w:val="22"/>
          <w:szCs w:val="22"/>
        </w:rPr>
      </w:pPr>
      <w:r w:rsidRPr="00D07E9C">
        <w:rPr>
          <w:rFonts w:ascii="Times New Roman" w:hAnsi="Times New Roman" w:cs="Times New Roman"/>
          <w:b/>
          <w:bCs/>
          <w:sz w:val="22"/>
          <w:szCs w:val="22"/>
        </w:rPr>
        <w:t xml:space="preserve"> Bilgi Alma Hakkının Sınırları</w:t>
      </w:r>
    </w:p>
    <w:p w14:paraId="0698908C"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Bilgi alma hakkı kapsamında sağlanacak bilgiler; finansal tabloları, şirketin işleri ile faaliyetlerini, yatırımlarını, ilişkilerini ve varsa ana şirketin yavru şirketlerini kapsar. TTK m. 200 uyarınca hâkim şirketin her bir pay sahibinin genel kurulda bilgi alma hakkı; bağlı şirketlerin finansal ve malvarlığıyla ilgili durumları ile hesap sonuçlarını, hâkim şirketin bağlı şirketlerle, bağlı şirketlerin birbirleriyle; hâkim ve bağlı şirketlerin pay sahipleri, yöneticileri ve bunların yakınlarıyla ilişkilerini, yaptıkları işlemleri ve bunların sonuçlarını kapsar.</w:t>
      </w:r>
    </w:p>
    <w:p w14:paraId="25EE1112"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Türk hukukunda pay sahiplerinin bilgi alma hakkının sınırı, esasen şirket sırlarının ifşası ile korunması gereken diğer meşru menfaatlerin zarar görme ihtimali tarafından belirlenmektedir. TTK m. 437/3 uyarınca, bu tür sakıncaların varlığı halinde şirket yönetimi bilgi talebini kural olarak reddedebilir. Bununla birlikte, eşit işlem ilkesinin bir sonucu olarak ve TTK m. 437/2 kapsamında, genel kurul dışında herhangi bir pay sahibine daha önce sunulmuş bir bilgi, talep eden başka bir pay sahibine de —gündem maddeleriyle doğrudan bağlantılı olmasa dahi— aynı içerik ve kapsamla sağlanmak zorundadır. Böyle bir durumda, bilgiyi paylaşmanın şirket menfaatlerine zarar vereceği iddiası, yönetim tarafından bilgi vermekten kaçınma gerekçesi olarak ileri sürülemez.</w:t>
      </w:r>
    </w:p>
    <w:p w14:paraId="39119A95"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Ancak pay sahibinin bilgi alma hakkı sınırsız değildir. Şirket yöneticileri ve denetçiler, pay sahibinin bilgi alma hakkını kullanırken istediği bilgileri vermekten ancak “şirket sırrı” ve “korunmaya değer şirket menfaatleri” kriterlerine uygun bir gerekçe ile kaçınabilirler. Yönetim kurulu, hiçbir gerekçe göstermeden, soyut ifadelerle, istenen bilgilerin şirket sırrına girdiğini ileri sürerek bilgi vermeyi reddedemez. İşletme sırrı kalkanının ancak haklı gerekçelerin varlığında kullanılabilmesi gerekir.</w:t>
      </w:r>
    </w:p>
    <w:p w14:paraId="7364250F"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lastRenderedPageBreak/>
        <w:t>Anonim şirketlerde, şirketin rekabet gücünü zayıflatabilecek veya açıklanması/kullanılması halinde şirkete zarar verme potansiyeli taşıyan nitelikteki bilgiler genel olarak şirket sırrı kapsamında değerlendirilir. Bir pay sahibinin bilgi alma talebinin şirket organları tarafından reddedilebilmesi için, bu talebin yerine getirilmesinin şirket sırlarının ortaya çıkmasına ve bunun sonucu olarak şirket menfaatlerinin zarar görmesine ya da somut bir tehlike altına girmesine yol açabilecek nitelikte olması gerekir.</w:t>
      </w:r>
    </w:p>
    <w:p w14:paraId="63EEB5F8"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Bu konuda İsviçre Federal Mahkemesi tarafından ortaya konulan ölçüt dikkate değerdir. Mahkemeye göre bilgi vermekten kaçınabilmek için, öncelikle şirketin menfaatlerinin bilgi paylaşımı sonucu hiçbir şekilde riske atılmaması gerekir; ayrıca şirket, böyle bir riskin mevcut olduğunu somut olgularla desteklemeli ve söz konusu tehlikenin gerçekleşme ihtimali yüksek düzeyde olmalıdır.</w:t>
      </w:r>
    </w:p>
    <w:p w14:paraId="57C7DF4E"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Bilgi alma hakkının diğer bir sınırı ise Türk Medeni Kanunu’nun 2. maddesinde düzenlenen dürüstlük kuralıdır. Buna göre, hakkın kötüye kullanılması niteliğindeki talepler, bilgi alma hakkının korumasından yararlanamaz; zira kötü niyetli veya dürüstlük kuralına aykırı talepler hukuken korunmaz.</w:t>
      </w:r>
    </w:p>
    <w:p w14:paraId="29CEA8FA"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TTK m. 437/5, pay sahiplerinin bilgi alma hakkını korumak amacıyla bilgi alma veya inceleme istemleri cevapsız bırakılan, haksız olarak reddedilen, ertelenen ve bilgi alamayan pay sahibine şirket merkezinin bulunduğu asliye ticaret mahkemesine başvurma olanağı tanır.</w:t>
      </w:r>
    </w:p>
    <w:p w14:paraId="78353909" w14:textId="77777777" w:rsidR="00B07941" w:rsidRPr="00D07E9C" w:rsidRDefault="00B07941" w:rsidP="00B07941">
      <w:pPr>
        <w:jc w:val="both"/>
        <w:rPr>
          <w:rFonts w:ascii="Times New Roman" w:hAnsi="Times New Roman" w:cs="Times New Roman"/>
          <w:b/>
          <w:bCs/>
          <w:sz w:val="22"/>
          <w:szCs w:val="22"/>
        </w:rPr>
      </w:pPr>
      <w:r w:rsidRPr="00D07E9C">
        <w:rPr>
          <w:rFonts w:ascii="Times New Roman" w:hAnsi="Times New Roman" w:cs="Times New Roman"/>
          <w:b/>
          <w:bCs/>
          <w:sz w:val="22"/>
          <w:szCs w:val="22"/>
        </w:rPr>
        <w:t>Şirket Sırı – Bilgi Alma Hakkı Dengesi</w:t>
      </w:r>
    </w:p>
    <w:p w14:paraId="2CDA13A5"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İki hak da hukuken korunan menfaatlere dayanır:</w:t>
      </w:r>
    </w:p>
    <w:p w14:paraId="453060B5" w14:textId="77777777" w:rsidR="00B07941" w:rsidRPr="00D07E9C" w:rsidRDefault="00B07941" w:rsidP="00B07941">
      <w:pPr>
        <w:numPr>
          <w:ilvl w:val="0"/>
          <w:numId w:val="10"/>
        </w:numPr>
        <w:jc w:val="both"/>
        <w:rPr>
          <w:rFonts w:ascii="Times New Roman" w:hAnsi="Times New Roman" w:cs="Times New Roman"/>
          <w:sz w:val="22"/>
          <w:szCs w:val="22"/>
        </w:rPr>
      </w:pPr>
      <w:r w:rsidRPr="00D07E9C">
        <w:rPr>
          <w:rFonts w:ascii="Times New Roman" w:hAnsi="Times New Roman" w:cs="Times New Roman"/>
          <w:sz w:val="22"/>
          <w:szCs w:val="22"/>
        </w:rPr>
        <w:t>Pay sahibinin menfaati: Şirket yönetimini denetlemek, yatırım kararlarını sağlıklı almak, şeffaflıktan yararlanmak.</w:t>
      </w:r>
    </w:p>
    <w:p w14:paraId="6BFAC955" w14:textId="77777777" w:rsidR="00B07941" w:rsidRPr="00D07E9C" w:rsidRDefault="00B07941" w:rsidP="00B07941">
      <w:pPr>
        <w:numPr>
          <w:ilvl w:val="0"/>
          <w:numId w:val="10"/>
        </w:numPr>
        <w:jc w:val="both"/>
        <w:rPr>
          <w:rFonts w:ascii="Times New Roman" w:hAnsi="Times New Roman" w:cs="Times New Roman"/>
          <w:sz w:val="22"/>
          <w:szCs w:val="22"/>
        </w:rPr>
      </w:pPr>
      <w:r w:rsidRPr="00D07E9C">
        <w:rPr>
          <w:rFonts w:ascii="Times New Roman" w:hAnsi="Times New Roman" w:cs="Times New Roman"/>
          <w:sz w:val="22"/>
          <w:szCs w:val="22"/>
        </w:rPr>
        <w:t>Şirketin menfaati: Rekabet avantajını sürdürmek, stratejik bilgilerin ifşasını önlemek, ticari riskleri yönetmek.</w:t>
      </w:r>
    </w:p>
    <w:p w14:paraId="0F0AA9F5"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Bu nedenle esas amaç, pay sahibinin hakkını tamamen ortadan kaldırmadan şirket sırlarını koruyan bir pratik denge kurgulamaktır.</w:t>
      </w:r>
    </w:p>
    <w:p w14:paraId="2726DB05"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Yönetim kurulu;</w:t>
      </w:r>
    </w:p>
    <w:p w14:paraId="18AD1F71" w14:textId="77777777" w:rsidR="00B07941" w:rsidRPr="00D07E9C" w:rsidRDefault="00B07941" w:rsidP="00B07941">
      <w:pPr>
        <w:numPr>
          <w:ilvl w:val="0"/>
          <w:numId w:val="11"/>
        </w:numPr>
        <w:jc w:val="both"/>
        <w:rPr>
          <w:rFonts w:ascii="Times New Roman" w:hAnsi="Times New Roman" w:cs="Times New Roman"/>
          <w:sz w:val="22"/>
          <w:szCs w:val="22"/>
        </w:rPr>
      </w:pPr>
      <w:r w:rsidRPr="00D07E9C">
        <w:rPr>
          <w:rFonts w:ascii="Times New Roman" w:hAnsi="Times New Roman" w:cs="Times New Roman"/>
          <w:sz w:val="22"/>
          <w:szCs w:val="22"/>
        </w:rPr>
        <w:t>Bilgi talebini somut olay özelinde değerlendirir,</w:t>
      </w:r>
    </w:p>
    <w:p w14:paraId="449BF69C" w14:textId="77777777" w:rsidR="00B07941" w:rsidRPr="00D07E9C" w:rsidRDefault="00B07941" w:rsidP="00B07941">
      <w:pPr>
        <w:numPr>
          <w:ilvl w:val="0"/>
          <w:numId w:val="11"/>
        </w:numPr>
        <w:jc w:val="both"/>
        <w:rPr>
          <w:rFonts w:ascii="Times New Roman" w:hAnsi="Times New Roman" w:cs="Times New Roman"/>
          <w:sz w:val="22"/>
          <w:szCs w:val="22"/>
        </w:rPr>
      </w:pPr>
      <w:r w:rsidRPr="00D07E9C">
        <w:rPr>
          <w:rFonts w:ascii="Times New Roman" w:hAnsi="Times New Roman" w:cs="Times New Roman"/>
          <w:sz w:val="22"/>
          <w:szCs w:val="22"/>
        </w:rPr>
        <w:t>Talebin amacını, kapsamını ve şirket menfaatine etkisini analiz eder,</w:t>
      </w:r>
    </w:p>
    <w:p w14:paraId="2E50A03B" w14:textId="77777777" w:rsidR="00B07941" w:rsidRPr="00D07E9C" w:rsidRDefault="00B07941" w:rsidP="00B07941">
      <w:pPr>
        <w:numPr>
          <w:ilvl w:val="0"/>
          <w:numId w:val="11"/>
        </w:numPr>
        <w:jc w:val="both"/>
        <w:rPr>
          <w:rFonts w:ascii="Times New Roman" w:hAnsi="Times New Roman" w:cs="Times New Roman"/>
          <w:sz w:val="22"/>
          <w:szCs w:val="22"/>
        </w:rPr>
      </w:pPr>
      <w:r w:rsidRPr="00D07E9C">
        <w:rPr>
          <w:rFonts w:ascii="Times New Roman" w:hAnsi="Times New Roman" w:cs="Times New Roman"/>
          <w:sz w:val="22"/>
          <w:szCs w:val="22"/>
        </w:rPr>
        <w:t>Açıklanması zorunlu olmayan ticari sırların korunması için gerekli önlemleri alır,</w:t>
      </w:r>
    </w:p>
    <w:p w14:paraId="661FBDF0" w14:textId="77777777" w:rsidR="00B07941" w:rsidRPr="00D07E9C" w:rsidRDefault="00B07941" w:rsidP="00B07941">
      <w:pPr>
        <w:numPr>
          <w:ilvl w:val="0"/>
          <w:numId w:val="11"/>
        </w:numPr>
        <w:jc w:val="both"/>
        <w:rPr>
          <w:rFonts w:ascii="Times New Roman" w:hAnsi="Times New Roman" w:cs="Times New Roman"/>
          <w:sz w:val="22"/>
          <w:szCs w:val="22"/>
        </w:rPr>
      </w:pPr>
      <w:r w:rsidRPr="00D07E9C">
        <w:rPr>
          <w:rFonts w:ascii="Times New Roman" w:hAnsi="Times New Roman" w:cs="Times New Roman"/>
          <w:sz w:val="22"/>
          <w:szCs w:val="22"/>
        </w:rPr>
        <w:t>Gerekirse talebi sınırlı şekilde, özet bilgi formunda veya denetçi incelemesi üzerinden karşılayabilir.</w:t>
      </w:r>
    </w:p>
    <w:p w14:paraId="6AC69D77" w14:textId="77777777" w:rsidR="00B07941" w:rsidRPr="00D07E9C" w:rsidRDefault="00B07941" w:rsidP="00B07941">
      <w:pPr>
        <w:jc w:val="both"/>
        <w:rPr>
          <w:rFonts w:ascii="Times New Roman" w:hAnsi="Times New Roman" w:cs="Times New Roman"/>
          <w:b/>
          <w:bCs/>
          <w:sz w:val="22"/>
          <w:szCs w:val="22"/>
        </w:rPr>
      </w:pPr>
      <w:r w:rsidRPr="00D07E9C">
        <w:rPr>
          <w:rFonts w:ascii="Times New Roman" w:hAnsi="Times New Roman" w:cs="Times New Roman"/>
          <w:b/>
          <w:bCs/>
          <w:sz w:val="22"/>
          <w:szCs w:val="22"/>
        </w:rPr>
        <w:t>Uygulamada Kullanılan Ara Çözümler</w:t>
      </w:r>
    </w:p>
    <w:p w14:paraId="6093D30B"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Uygulamada dengeyi sağlamak için:</w:t>
      </w:r>
    </w:p>
    <w:p w14:paraId="22142DBB" w14:textId="77777777" w:rsidR="00B07941" w:rsidRPr="00D07E9C" w:rsidRDefault="00B07941" w:rsidP="00B07941">
      <w:pPr>
        <w:numPr>
          <w:ilvl w:val="0"/>
          <w:numId w:val="12"/>
        </w:numPr>
        <w:jc w:val="both"/>
        <w:rPr>
          <w:rFonts w:ascii="Times New Roman" w:hAnsi="Times New Roman" w:cs="Times New Roman"/>
          <w:sz w:val="22"/>
          <w:szCs w:val="22"/>
        </w:rPr>
      </w:pPr>
      <w:r w:rsidRPr="00D07E9C">
        <w:rPr>
          <w:rFonts w:ascii="Times New Roman" w:hAnsi="Times New Roman" w:cs="Times New Roman"/>
          <w:sz w:val="22"/>
          <w:szCs w:val="22"/>
        </w:rPr>
        <w:t>Kapsam Daraltma: Talep edilen bilgi daha sınırlı bir formatta verilebilir.</w:t>
      </w:r>
    </w:p>
    <w:p w14:paraId="7B2B2583" w14:textId="77777777" w:rsidR="00B07941" w:rsidRPr="00D07E9C" w:rsidRDefault="00B07941" w:rsidP="00B07941">
      <w:pPr>
        <w:numPr>
          <w:ilvl w:val="0"/>
          <w:numId w:val="12"/>
        </w:numPr>
        <w:jc w:val="both"/>
        <w:rPr>
          <w:rFonts w:ascii="Times New Roman" w:hAnsi="Times New Roman" w:cs="Times New Roman"/>
          <w:sz w:val="22"/>
          <w:szCs w:val="22"/>
        </w:rPr>
      </w:pPr>
      <w:r w:rsidRPr="00D07E9C">
        <w:rPr>
          <w:rFonts w:ascii="Times New Roman" w:hAnsi="Times New Roman" w:cs="Times New Roman"/>
          <w:sz w:val="22"/>
          <w:szCs w:val="22"/>
        </w:rPr>
        <w:t>Denetçi Aracılığıyla İnceleme: Pay sahibi belgeyi doğrudan değil, özel denetçi üzerinden görebilir.</w:t>
      </w:r>
    </w:p>
    <w:p w14:paraId="414B16D7" w14:textId="77777777" w:rsidR="00B07941" w:rsidRPr="00D07E9C" w:rsidRDefault="00B07941" w:rsidP="00B07941">
      <w:pPr>
        <w:numPr>
          <w:ilvl w:val="0"/>
          <w:numId w:val="12"/>
        </w:numPr>
        <w:jc w:val="both"/>
        <w:rPr>
          <w:rFonts w:ascii="Times New Roman" w:hAnsi="Times New Roman" w:cs="Times New Roman"/>
          <w:sz w:val="22"/>
          <w:szCs w:val="22"/>
        </w:rPr>
      </w:pPr>
      <w:r w:rsidRPr="00D07E9C">
        <w:rPr>
          <w:rFonts w:ascii="Times New Roman" w:hAnsi="Times New Roman" w:cs="Times New Roman"/>
          <w:sz w:val="22"/>
          <w:szCs w:val="22"/>
        </w:rPr>
        <w:t>Gizlilik Yükümlülüğü Altına Alma: Talebi karşılanan pay sahibinden gizlilik taahhüdü alınabilir.</w:t>
      </w:r>
    </w:p>
    <w:p w14:paraId="78B80082" w14:textId="77777777" w:rsidR="00B07941" w:rsidRPr="00D07E9C" w:rsidRDefault="00B07941" w:rsidP="00B07941">
      <w:pPr>
        <w:numPr>
          <w:ilvl w:val="0"/>
          <w:numId w:val="12"/>
        </w:numPr>
        <w:jc w:val="both"/>
        <w:rPr>
          <w:rFonts w:ascii="Times New Roman" w:hAnsi="Times New Roman" w:cs="Times New Roman"/>
          <w:sz w:val="22"/>
          <w:szCs w:val="22"/>
        </w:rPr>
      </w:pPr>
      <w:r w:rsidRPr="00D07E9C">
        <w:rPr>
          <w:rFonts w:ascii="Times New Roman" w:hAnsi="Times New Roman" w:cs="Times New Roman"/>
          <w:sz w:val="22"/>
          <w:szCs w:val="22"/>
        </w:rPr>
        <w:lastRenderedPageBreak/>
        <w:t>Süreç Şeffaflığı: Ret halinde yönetim kurulu gerekçesini açık ve somut şekilde belirtir.</w:t>
      </w:r>
    </w:p>
    <w:p w14:paraId="45F8633A"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Bu yöntemler hem şirket menfaatini korur hem pay sahibinin hakkının “işlevsiz” hale gelmesini engeller.</w:t>
      </w:r>
    </w:p>
    <w:p w14:paraId="65038667" w14:textId="77777777" w:rsidR="00B07941" w:rsidRPr="00D07E9C" w:rsidRDefault="00B07941" w:rsidP="00B07941">
      <w:pPr>
        <w:jc w:val="both"/>
        <w:rPr>
          <w:rFonts w:ascii="Times New Roman" w:hAnsi="Times New Roman" w:cs="Times New Roman"/>
          <w:b/>
          <w:bCs/>
          <w:sz w:val="22"/>
          <w:szCs w:val="22"/>
        </w:rPr>
      </w:pPr>
      <w:r w:rsidRPr="00D07E9C">
        <w:rPr>
          <w:rFonts w:ascii="Times New Roman" w:hAnsi="Times New Roman" w:cs="Times New Roman"/>
          <w:b/>
          <w:bCs/>
          <w:sz w:val="22"/>
          <w:szCs w:val="22"/>
        </w:rPr>
        <w:t>5. Sonuç</w:t>
      </w:r>
    </w:p>
    <w:p w14:paraId="5348118E"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Şirket sırlarının korunması ile pay sahiplerinin bilgi alma hakkı, şirket yönetiminde dengelenmesi gereken iki temel haktır. Pay sahiplerinin bilgi alma hakkı kurumsal yönetimin, şeffaflığın ve hesap verebilirliğin temelidir; ancak şirket sırlarının korunması da rekabetçi varlığın sürdürülebilmesi için vazgeçilmezdir.</w:t>
      </w:r>
    </w:p>
    <w:p w14:paraId="0ED66342"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Yönetim kurulunun görevi, bu iki menfaati somut olay bazında değerlendirerek orantılı, ölçülü ve şirket menfaatine uygun bir denge kurmaktır. Bilgi talebinin reddi ancak gerçek bir ticari sır riski ve haklı sebep çerçevesinde mümkündür. Öte yandan pay sahiplerinin bilgi alma hakkının etkin kullanılması için, ret kararlarının somutlaştırılması, gerekirse alternatif yollarla bilgi verilmesi ve kötüye kullanım ihtimali bulunan taleplerin özenle değerlendirilmesi gerekmektedir.</w:t>
      </w:r>
    </w:p>
    <w:p w14:paraId="51AA9951" w14:textId="77777777" w:rsidR="00B07941" w:rsidRPr="00D07E9C" w:rsidRDefault="00B07941" w:rsidP="00B07941">
      <w:pPr>
        <w:jc w:val="both"/>
        <w:rPr>
          <w:rFonts w:ascii="Times New Roman" w:hAnsi="Times New Roman" w:cs="Times New Roman"/>
          <w:sz w:val="22"/>
          <w:szCs w:val="22"/>
        </w:rPr>
      </w:pPr>
      <w:r w:rsidRPr="00D07E9C">
        <w:rPr>
          <w:rFonts w:ascii="Times New Roman" w:hAnsi="Times New Roman" w:cs="Times New Roman"/>
          <w:sz w:val="22"/>
          <w:szCs w:val="22"/>
        </w:rPr>
        <w:t>Bu denge doğru kurulduğunda hem şirket menfaatleri korunur hem de pay sahipliği demokrasisi işlevsel hale gelir.</w:t>
      </w:r>
    </w:p>
    <w:p w14:paraId="6189154A" w14:textId="56CCE455" w:rsidR="00EA5FB2" w:rsidRPr="00130175" w:rsidRDefault="00EC66B6" w:rsidP="00EC66B6">
      <w:pPr>
        <w:tabs>
          <w:tab w:val="num" w:pos="360"/>
          <w:tab w:val="num" w:pos="567"/>
        </w:tabs>
        <w:spacing w:after="480" w:line="240" w:lineRule="auto"/>
        <w:jc w:val="right"/>
        <w:textAlignment w:val="baseline"/>
        <w:rPr>
          <w:rFonts w:ascii="Times New Roman" w:hAnsi="Times New Roman" w:cs="Times New Roman"/>
          <w:b/>
          <w:bCs/>
          <w:sz w:val="22"/>
          <w:szCs w:val="22"/>
        </w:rPr>
      </w:pPr>
      <w:r>
        <w:rPr>
          <w:rFonts w:ascii="Times New Roman" w:hAnsi="Times New Roman" w:cs="Times New Roman"/>
          <w:b/>
          <w:bCs/>
          <w:sz w:val="22"/>
          <w:szCs w:val="22"/>
        </w:rPr>
        <w:t>9 OCAK 2026</w:t>
      </w:r>
    </w:p>
    <w:p w14:paraId="735C012D" w14:textId="6762A16F" w:rsidR="00B07941" w:rsidRPr="00EA5FB2" w:rsidRDefault="00DE5F78" w:rsidP="00B07941">
      <w:pPr>
        <w:pStyle w:val="ListeParagraf"/>
        <w:numPr>
          <w:ilvl w:val="0"/>
          <w:numId w:val="1"/>
        </w:numPr>
        <w:tabs>
          <w:tab w:val="clear" w:pos="720"/>
          <w:tab w:val="num" w:pos="360"/>
          <w:tab w:val="num" w:pos="567"/>
        </w:tabs>
        <w:spacing w:after="480" w:line="240" w:lineRule="auto"/>
        <w:ind w:left="0" w:hanging="284"/>
        <w:textAlignment w:val="baseline"/>
        <w:rPr>
          <w:rFonts w:ascii="Times New Roman" w:hAnsi="Times New Roman" w:cs="Times New Roman"/>
          <w:b/>
          <w:bCs/>
          <w:sz w:val="22"/>
          <w:szCs w:val="22"/>
        </w:rPr>
      </w:pPr>
      <w:r w:rsidRPr="00DE5F78">
        <w:rPr>
          <w:rFonts w:ascii="Times New Roman" w:hAnsi="Times New Roman" w:cs="Times New Roman"/>
          <w:b/>
          <w:bCs/>
          <w:sz w:val="22"/>
          <w:szCs w:val="22"/>
        </w:rPr>
        <w:t xml:space="preserve">ŞİRKETLER TOPLULUĞUNDA HÂKİMİYET İLİŞKİSİ VE SORUMLULUK REJİMİ </w:t>
      </w:r>
    </w:p>
    <w:p w14:paraId="3654E2B7"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I. GİRİŞ</w:t>
      </w:r>
    </w:p>
    <w:p w14:paraId="718A5048"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Modern ticari hayatın karmaşık yapısı, şirketlerin faaliyetlerini tek bir tüzel kişilik altında sürdürmelerini çoğu zaman yeterli kılmamakta; bu nedenle şirketler, farklı sektörlerde ve pazarlarda faaliyet gösterebilmek amacıyla şirketler topluluğu yapıları altında örgütlenmektedir. Bu yapılanma, ekonomik etkinlik ve merkezi yönetim avantajı sağlamakla birlikte, bağlı şirketlerin hukuki ve ekonomik bağımsızlıklarının korunması sorununu da beraberinde getirmektedir.</w:t>
      </w:r>
    </w:p>
    <w:p w14:paraId="6236D723"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6102 sayılı Türk Ticaret Kanunu (“TTK”), şirketler topluluğu ilişkilerini ilk kez sistematik ve bütüncül bir çerçevede düzenlemiş; özellikle hâkimiyet ilişkisi ve bu hâkimiyetin kullanımından doğan sorumluluklar bakımından önemli yenilikler getirmiştir. Bu çalışmada, şirketler topluluğunda hâkimiyet kavramı, hâkimiyetin tespiti, hâkim şirketin bağlı şirket üzerindeki yetkileri ile bu yetkilerin hukuka aykırı kullanılması hâlinde doğan sorumluluk rejimi ele alınacaktır.</w:t>
      </w:r>
    </w:p>
    <w:p w14:paraId="6CE832A7"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II. ŞİRKETLER TOPLULUĞU VE HÂKİMİYET KAVRAMI</w:t>
      </w:r>
    </w:p>
    <w:p w14:paraId="22EC21D0"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A. Şirketler Topluluğunun Tanımı</w:t>
      </w:r>
    </w:p>
    <w:p w14:paraId="57D9E6D4"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TTK m. 195 uyarınca şirketler topluluğu, bir ticaret şirketinin diğer bir ticaret şirketi üzerinde doğrudan veya dolaylı olarak hâkimiyet kurması hâlinde ortaya çıkar. Bu çerçevede, topluluğun varlığından söz edebilmek için en az iki şirket arasında bir hâkimiyet ilişkisinin bulunması zorunludur. Hâkim şirket ile bağlı şirket arasındaki bu ilişki, şirketlerin hukuki bağımsızlıklarını ortadan kaldırmamakla birlikte, fiili ve ekonomik bağımlılık yaratmaktadır.</w:t>
      </w:r>
    </w:p>
    <w:p w14:paraId="5D792AAE"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B. Hâkimiyetin Hukuki Niteliği</w:t>
      </w:r>
    </w:p>
    <w:p w14:paraId="0C6742FC"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 xml:space="preserve">Kanun koyucu, hâkimiyet kavramını açık bir şekilde tanımlamaktan kaçınmış; bunun yerine hâkimiyetin varlığının tespitine yarayan ölçütleri düzenlemiştir. </w:t>
      </w:r>
      <w:proofErr w:type="gramStart"/>
      <w:r w:rsidRPr="00E941B6">
        <w:rPr>
          <w:rFonts w:ascii="Times New Roman" w:hAnsi="Times New Roman" w:cs="Times New Roman"/>
          <w:color w:val="000000" w:themeColor="text1"/>
          <w:sz w:val="22"/>
          <w:szCs w:val="22"/>
        </w:rPr>
        <w:t>Doktrinde</w:t>
      </w:r>
      <w:proofErr w:type="gramEnd"/>
      <w:r w:rsidRPr="00E941B6">
        <w:rPr>
          <w:rFonts w:ascii="Times New Roman" w:hAnsi="Times New Roman" w:cs="Times New Roman"/>
          <w:color w:val="000000" w:themeColor="text1"/>
          <w:sz w:val="22"/>
          <w:szCs w:val="22"/>
        </w:rPr>
        <w:t xml:space="preserve"> hâkimiyet, bir şirketin diğer </w:t>
      </w:r>
      <w:r w:rsidRPr="00E941B6">
        <w:rPr>
          <w:rFonts w:ascii="Times New Roman" w:hAnsi="Times New Roman" w:cs="Times New Roman"/>
          <w:color w:val="000000" w:themeColor="text1"/>
          <w:sz w:val="22"/>
          <w:szCs w:val="22"/>
        </w:rPr>
        <w:lastRenderedPageBreak/>
        <w:t>bir şirketin yatırım, işletme ve finansman politikalarını belirleyebilme ve yönlendirebilme gücü olarak kabul edilmektedir. Bu güç, çoğu zaman yönetim organları üzerindeki belirleyici etki aracılığıyla ortaya çıkmaktadır.</w:t>
      </w:r>
    </w:p>
    <w:p w14:paraId="708174FE"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III. HÂKİMİYETİN TESBİTİ VE TÜRLERİ</w:t>
      </w:r>
    </w:p>
    <w:p w14:paraId="31721E00"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A. Pay Sahipliği Yoluyla Hâkimiyet</w:t>
      </w:r>
    </w:p>
    <w:p w14:paraId="01F5A4DE"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Pay sahipliği yoluyla hâkimiyet, TTK 195/1-(a) uyarınca, hâkim şirketin bağlı şirketin oy haklarının çoğunluğuna sahip olması, yönetim kurulunda karar alabilecek sayıda üyeyi belirleyebilmesi veya oy haklarını fiilen kontrol edebilmesi hâllerinde söz konusu olur. TTK m. 195/2’de öngörülen karine gereği, bir ticaret şirketinin başka bir ticaret şirketinin paylarının çoğunluğuna veya onu yönetebilecek kararları alabilecek miktarda paylarına sahip bulunması, birinci şirketin hâkimiyetinin varlığına karinedir.</w:t>
      </w:r>
    </w:p>
    <w:p w14:paraId="47C29B56"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B. Sözleşmesel Hâkimiyet</w:t>
      </w:r>
    </w:p>
    <w:p w14:paraId="6CBE40CE" w14:textId="2291D5B6" w:rsidR="003F00A8" w:rsidRPr="00EA5FB2"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Hâkimiyet, taraflar arasında akdedilen bir hâkimiyet sözleşmesi yoluyla da kurulabilir. Bu sözleşmeler, klasik hissedar sözleşmelerinden farklı olarak, hâkim şirket ile bağlı şirket arasında yapılır ve geçerlilikleri ticaret siciline tescil ve ilan şartına bağlıdır. Sözleşmesel hâkimiyet, özellikle sermaye ilişkisi bulunmayan şirketler arasında da topluluk ilişkisi kurulmasına imkân tanımaktadır. TTK 195/1(b) bu durumu “Bir ticaret şirketi, diğer bir ticaret şirketini, bir sözleşme gereğince veya başka bir yolla hâkimiyeti altında tutabiliyorsa, birinci şirket hâkim, diğeri bağlı şirkettir. “ olarak tanımlamıştır.</w:t>
      </w:r>
    </w:p>
    <w:p w14:paraId="59C909AF"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C. Diğer Yollarla Hâkimiyet</w:t>
      </w:r>
    </w:p>
    <w:p w14:paraId="10855951"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TTK, hâkimiyetin tesis yollarını sınırlı sayıda düzenlememiştir. TTK 195/1-(b) “Bir ticaret şirketi, diğer bir ticaret şirketini, bir sözleşme gereğince veya başka bir yolla hâkimiyeti altında tutabiliyorsa…” demek suretiyle hakimiyet tesis yollarının sınırlı sayıda olmadığını açıkça belirtmiştir. Bu nedenle, fiili durumun değerlendirilmesi sonucunda bir şirketin diğer şirket üzerinde belirleyici etkiye sahip olduğunun tespiti hâlinde, başka araçlar vasıtasıyla da hâkimiyet ilişkisinin varlığı kabul edilebilir.</w:t>
      </w:r>
    </w:p>
    <w:p w14:paraId="66C02AA0"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IV. HÂKİM ŞİRKETİN HUKUKA AYKIRI HÂKİMİYET KULLANIMI</w:t>
      </w:r>
    </w:p>
    <w:p w14:paraId="753030C9"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A. Yönetim Kararlarından Doğan Sorumluluk</w:t>
      </w:r>
    </w:p>
    <w:p w14:paraId="54CC881A"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TTK m. 202/1 uyarınca hâkim şirket, hâkimiyetini bağlı şirketi kayba uğratacak şekilde kullanamaz. Burada “kayıp” kavramı, yalnızca gerçekleşmiş zararları değil, şirket malvarlığının veya kârlılığının riske sokulmasını da kapsar. Bağlı şirketin iş, varlık, fon veya personel devrine zorlanması; kefalet, garanti veya aval gibi yükümlülükler altına sokulması; faaliyetlerini olumsuz etkileyecek kararlar almaya yönlendirilmesi bu kapsama giren tipik örneklerdendir.</w:t>
      </w:r>
    </w:p>
    <w:p w14:paraId="458E3BAA"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 şirketin bu tür işlemler sonucunda ortaya çıkan kaybı ilgili faaliyet yılı içinde fiilen denkleştirmemesi veya bağlı şirkete denk bir istem hakkı tanımaması hâlinde, hukuka aykırılık gerçekleşmiş sayılır ve sorumluluk doğar.</w:t>
      </w:r>
    </w:p>
    <w:p w14:paraId="7C93CA03"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B. Önemli Genel Kurul Kararlarından Doğan Sorumluluk</w:t>
      </w:r>
    </w:p>
    <w:p w14:paraId="4CB9CC73"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 xml:space="preserve">TTK m. 202/2 kapsamında, bağlı şirketin genel kurulunda alınan ve yapısal nitelik taşıyan bazı kararlar bakımından da hâkim şirketin sorumluluğu gündeme gelebilir. Birleşme, bölünme, tür </w:t>
      </w:r>
      <w:r w:rsidRPr="00E941B6">
        <w:rPr>
          <w:rFonts w:ascii="Times New Roman" w:hAnsi="Times New Roman" w:cs="Times New Roman"/>
          <w:color w:val="000000" w:themeColor="text1"/>
          <w:sz w:val="22"/>
          <w:szCs w:val="22"/>
        </w:rPr>
        <w:lastRenderedPageBreak/>
        <w:t>değiştirme, fesih ve önemli esas sözleşme değişiklikleri gibi kararların, açıkça anlaşılabilir haklı bir sebep olmaksızın ve hâkimiyet kullanılarak alınması hâlinde, hukuka aykırılık söz konusu olur.</w:t>
      </w:r>
    </w:p>
    <w:p w14:paraId="0EE53F42"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Bu hâllerde dava hakkı, genel kurulda ret oyu verip muhalefetini tutanağa geçirten pay sahiplerine tanınmıştır.</w:t>
      </w:r>
    </w:p>
    <w:p w14:paraId="0BB87489"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V. HÂKİM ŞİRKETE KARŞI İLERİ SÜRÜLEBİLECEK TALEPLER</w:t>
      </w:r>
    </w:p>
    <w:p w14:paraId="3E5B7008"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A. Denkleştirme ve Tazminat Davaları</w:t>
      </w:r>
    </w:p>
    <w:p w14:paraId="54E5A897"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Hâkimiyetin hukuka aykırı kullanılması sonucunda bağlı şirketin zarara uğraması hâlinde, Türk Ticaret Kanunu sistemi öncelikle bu zararın denkleştirme yoluyla giderilmesini öngörmektedir. Denkleştirmenin yapılmaması veya yetersiz kalması durumunda ise, bağlı şirketin pay sahipleri ve alacaklıları bakımından tazminat davası gündeme gelmektedir. Bu çerçevede TTK m. 202, zarar gören bağlı şirket menfaatine olmak üzere kimlerin, kimlere karşı ve hangi hukuki gerekçeyle talepte bulunabileceğini açık biçimde düzenlemektedir. Aşağıdaki tabloda, denkleştirme ve tazminat taleplerine ilişkin dava hakları özetlenmektedir.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5"/>
        <w:gridCol w:w="1745"/>
        <w:gridCol w:w="1639"/>
        <w:gridCol w:w="4333"/>
      </w:tblGrid>
      <w:tr w:rsidR="003F00A8" w:rsidRPr="00E941B6" w14:paraId="6205A7FF" w14:textId="77777777" w:rsidTr="00A02F49">
        <w:trPr>
          <w:trHeight w:val="403"/>
          <w:tblHeader/>
          <w:tblCellSpacing w:w="15" w:type="dxa"/>
        </w:trPr>
        <w:tc>
          <w:tcPr>
            <w:tcW w:w="0" w:type="auto"/>
            <w:vAlign w:val="center"/>
            <w:hideMark/>
          </w:tcPr>
          <w:p w14:paraId="09817FDA" w14:textId="77777777" w:rsidR="003F00A8" w:rsidRPr="00E941B6" w:rsidRDefault="003F00A8" w:rsidP="00A02F49">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Talepte Bulunan</w:t>
            </w:r>
          </w:p>
        </w:tc>
        <w:tc>
          <w:tcPr>
            <w:tcW w:w="0" w:type="auto"/>
            <w:vAlign w:val="center"/>
          </w:tcPr>
          <w:p w14:paraId="48127D40" w14:textId="77777777" w:rsidR="003F00A8" w:rsidRPr="00E941B6" w:rsidRDefault="003F00A8" w:rsidP="00A02F49">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Talep Edilen Kişi/Kurum</w:t>
            </w:r>
          </w:p>
        </w:tc>
        <w:tc>
          <w:tcPr>
            <w:tcW w:w="0" w:type="auto"/>
            <w:vAlign w:val="center"/>
            <w:hideMark/>
          </w:tcPr>
          <w:p w14:paraId="085BDCCA" w14:textId="77777777" w:rsidR="003F00A8" w:rsidRPr="00E941B6" w:rsidRDefault="003F00A8" w:rsidP="00A02F49">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Talep</w:t>
            </w:r>
          </w:p>
        </w:tc>
        <w:tc>
          <w:tcPr>
            <w:tcW w:w="0" w:type="auto"/>
            <w:vAlign w:val="center"/>
            <w:hideMark/>
          </w:tcPr>
          <w:p w14:paraId="4731F15F" w14:textId="77777777" w:rsidR="003F00A8" w:rsidRPr="00E941B6" w:rsidRDefault="003F00A8" w:rsidP="00A02F49">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Talebin Hukuki Dayanağı ve Gerekçesi</w:t>
            </w:r>
          </w:p>
        </w:tc>
      </w:tr>
      <w:tr w:rsidR="003F00A8" w:rsidRPr="00E941B6" w14:paraId="2A7A7B87" w14:textId="77777777" w:rsidTr="00A02F49">
        <w:trPr>
          <w:tblCellSpacing w:w="15" w:type="dxa"/>
        </w:trPr>
        <w:tc>
          <w:tcPr>
            <w:tcW w:w="0" w:type="auto"/>
            <w:vAlign w:val="center"/>
            <w:hideMark/>
          </w:tcPr>
          <w:p w14:paraId="0E0ABD5A"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b/>
                <w:bCs/>
                <w:color w:val="000000" w:themeColor="text1"/>
                <w:sz w:val="22"/>
                <w:szCs w:val="22"/>
              </w:rPr>
              <w:t>Bağlı Şirket</w:t>
            </w:r>
          </w:p>
        </w:tc>
        <w:tc>
          <w:tcPr>
            <w:tcW w:w="0" w:type="auto"/>
            <w:vAlign w:val="center"/>
          </w:tcPr>
          <w:p w14:paraId="4D0EE5C2"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 Şirket</w:t>
            </w:r>
          </w:p>
        </w:tc>
        <w:tc>
          <w:tcPr>
            <w:tcW w:w="0" w:type="auto"/>
            <w:vAlign w:val="center"/>
            <w:hideMark/>
          </w:tcPr>
          <w:p w14:paraId="4F9128EE"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Zararın denkleştirilmesi</w:t>
            </w:r>
          </w:p>
        </w:tc>
        <w:tc>
          <w:tcPr>
            <w:tcW w:w="0" w:type="auto"/>
            <w:vAlign w:val="center"/>
            <w:hideMark/>
          </w:tcPr>
          <w:p w14:paraId="0EDC0A0E"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Hâkimiyetin hukuka aykırı kullanılması sonucu bağlı şirketin uğradığı zararın öncelikle denkleştirme yoluyla giderilmesi gerekir (TTK m. 202/1).</w:t>
            </w:r>
          </w:p>
        </w:tc>
      </w:tr>
      <w:tr w:rsidR="003F00A8" w:rsidRPr="00E941B6" w14:paraId="3CE14722" w14:textId="77777777" w:rsidTr="00A02F49">
        <w:trPr>
          <w:tblCellSpacing w:w="15" w:type="dxa"/>
        </w:trPr>
        <w:tc>
          <w:tcPr>
            <w:tcW w:w="0" w:type="auto"/>
            <w:vAlign w:val="center"/>
            <w:hideMark/>
          </w:tcPr>
          <w:p w14:paraId="37E1A59D"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b/>
                <w:bCs/>
                <w:color w:val="000000" w:themeColor="text1"/>
                <w:sz w:val="22"/>
                <w:szCs w:val="22"/>
              </w:rPr>
              <w:t>Bağlı Şirket Pay Sahipleri</w:t>
            </w:r>
          </w:p>
        </w:tc>
        <w:tc>
          <w:tcPr>
            <w:tcW w:w="0" w:type="auto"/>
            <w:vAlign w:val="center"/>
          </w:tcPr>
          <w:p w14:paraId="669B3B05"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 Şirket/ Hâkim Şirketin kayba sebep olan yönetim kurulu üyeleri</w:t>
            </w:r>
          </w:p>
        </w:tc>
        <w:tc>
          <w:tcPr>
            <w:tcW w:w="0" w:type="auto"/>
            <w:vAlign w:val="center"/>
            <w:hideMark/>
          </w:tcPr>
          <w:p w14:paraId="6C34177D"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Şirket zararının tazmini</w:t>
            </w:r>
          </w:p>
        </w:tc>
        <w:tc>
          <w:tcPr>
            <w:tcW w:w="0" w:type="auto"/>
            <w:vAlign w:val="center"/>
            <w:hideMark/>
          </w:tcPr>
          <w:p w14:paraId="25760D19"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Denkleştirmenin yapılmaması hâlinde, bağlı şirketin pay sahipleri, hâkim şirketten şirket zararının tazminini talep edebilir (TTK m. 202/1). Zararın, hâkim şirketin yönetim kurulu üyelerinin hukuka aykırı hâkimiyet kullanımı sonucu doğması hâlinde, bu kişiler de sorumludur ve tazminat davası tarafı olabilirler.</w:t>
            </w:r>
          </w:p>
        </w:tc>
      </w:tr>
      <w:tr w:rsidR="003F00A8" w:rsidRPr="00E941B6" w14:paraId="130079F7" w14:textId="77777777" w:rsidTr="00A02F49">
        <w:trPr>
          <w:tblCellSpacing w:w="15" w:type="dxa"/>
        </w:trPr>
        <w:tc>
          <w:tcPr>
            <w:tcW w:w="0" w:type="auto"/>
            <w:vAlign w:val="center"/>
            <w:hideMark/>
          </w:tcPr>
          <w:p w14:paraId="2972AF08"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b/>
                <w:bCs/>
                <w:color w:val="000000" w:themeColor="text1"/>
                <w:sz w:val="22"/>
                <w:szCs w:val="22"/>
              </w:rPr>
              <w:t>Bağlı Şirket Alacaklıları</w:t>
            </w:r>
          </w:p>
        </w:tc>
        <w:tc>
          <w:tcPr>
            <w:tcW w:w="0" w:type="auto"/>
            <w:vAlign w:val="center"/>
          </w:tcPr>
          <w:p w14:paraId="2FB18AEB"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Hâkim Şirket/ Hâkim Şirketin sorumlu yönetim kurulu üyeleri</w:t>
            </w:r>
          </w:p>
        </w:tc>
        <w:tc>
          <w:tcPr>
            <w:tcW w:w="0" w:type="auto"/>
            <w:vAlign w:val="center"/>
            <w:hideMark/>
          </w:tcPr>
          <w:p w14:paraId="492B1803"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Şirket zararının şirkete ödenmesi</w:t>
            </w:r>
          </w:p>
        </w:tc>
        <w:tc>
          <w:tcPr>
            <w:tcW w:w="0" w:type="auto"/>
            <w:vAlign w:val="center"/>
            <w:hideMark/>
          </w:tcPr>
          <w:p w14:paraId="1544FF3D" w14:textId="77777777" w:rsidR="003F00A8" w:rsidRPr="00E941B6" w:rsidRDefault="003F00A8" w:rsidP="00A02F49">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 xml:space="preserve">TTK m. 202/1 uyarınca, şirket iflas etmemiş olsa dahi alacaklılara, zararının şirkete ödenmesini talep etme hakkı tanınmıştır. Ayrıca aynı madde uyarınca hâkimiyetin hukuka aykırı kullanımı nedeniyle şirket malvarlığının zayıflaması alacaklıların menfaatlerini doğrudan etkilediğinden, sorumluluk şahıslara da yöneltilebilir </w:t>
            </w:r>
          </w:p>
        </w:tc>
      </w:tr>
    </w:tbl>
    <w:p w14:paraId="1453B20E" w14:textId="77777777" w:rsidR="003F00A8" w:rsidRPr="00E941B6" w:rsidRDefault="003F00A8" w:rsidP="003F00A8">
      <w:pPr>
        <w:rPr>
          <w:rFonts w:ascii="Times New Roman" w:hAnsi="Times New Roman" w:cs="Times New Roman"/>
          <w:color w:val="000000" w:themeColor="text1"/>
          <w:sz w:val="22"/>
          <w:szCs w:val="22"/>
        </w:rPr>
      </w:pPr>
    </w:p>
    <w:p w14:paraId="69E274D6"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Yargıtay uygulamasında da hâkim şirketin bağlı şirketi kefalet ilişkileri yoluyla borca batık hâle getirmesinin, hâkimiyetin hukuka aykırı kullanımı teşkil ettiği ve tazminat sorumluluğu doğurduğu kabul edilmektedir. Ancak, kayba sebebiyet veren işlemin, aynı veya benzer koşullar altında, şirket menfaatlerini dürüstlük kuralına uygun olarak gözeten ve tedbirli bir yöneticinin özeniyle hareket eden, bağımsız bir şirketin yönetim kurulu üyeleri tarafından da yapılabileceği veya yapılmasından kaçınılabileceğinin ispatı hâlinde tazminata hükmedilemez.</w:t>
      </w:r>
    </w:p>
    <w:p w14:paraId="2FA926F6"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lastRenderedPageBreak/>
        <w:t>B. Payların Satın Alınmasının Talep Edilmesi</w:t>
      </w:r>
    </w:p>
    <w:p w14:paraId="07487074"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Pay sahipleri, tazminat yerine paylarının belirli bir bedel karşılığında hâkim şirket tarafından satın alınmasını da talep edebilirler. Bu hak, şirketler topluluğu hukukunda azınlık pay sahiplerinin korunmasına yönelik önemli bir mekanizma olarak öne çıkmaktadır. TTK 202/1 bu durumu “Hâkim istem üzerine veya resen somut olayda hakkaniyete uygun düşecekse, tazminat yerine bu maddenin ikinci fıkrası hükümlerine göre, davacı pay sahiplerinin paylarının hâkim şirket tarafından satın alınmasına veya duruma uygun düşen ve kabul edilebilir başka bir çözüme karar verebilir” demek suretiyle re’sen veya talep üzerine azınlık paylarının hâkim şirket tarafından alınması yoluna gidilebileceğini düzenlemiştir. Ayrıca hâkime, kabul edilebilir başka çözüme de karar verme yetkisi verilmiş olup çözüm yolları sınırlandırılmamıştır.</w:t>
      </w:r>
    </w:p>
    <w:p w14:paraId="010ED7C1" w14:textId="77777777" w:rsidR="003F00A8" w:rsidRPr="00E941B6" w:rsidRDefault="003F00A8" w:rsidP="003F00A8">
      <w:pPr>
        <w:rPr>
          <w:rFonts w:ascii="Times New Roman" w:hAnsi="Times New Roman" w:cs="Times New Roman"/>
          <w:b/>
          <w:bCs/>
          <w:color w:val="000000" w:themeColor="text1"/>
          <w:sz w:val="22"/>
          <w:szCs w:val="22"/>
        </w:rPr>
      </w:pPr>
      <w:r w:rsidRPr="00E941B6">
        <w:rPr>
          <w:rFonts w:ascii="Times New Roman" w:hAnsi="Times New Roman" w:cs="Times New Roman"/>
          <w:b/>
          <w:bCs/>
          <w:color w:val="000000" w:themeColor="text1"/>
          <w:sz w:val="22"/>
          <w:szCs w:val="22"/>
        </w:rPr>
        <w:t>VI. SONUÇ</w:t>
      </w:r>
    </w:p>
    <w:p w14:paraId="3177B0C6"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Şirketler topluluğu yapısı, ekonomik ve yönetsel avantajlar sağlamakla birlikte, hâkim şirket ile bağlı şirket arasındaki menfaat dengesinin korunmasını zorunlu kılmaktadır. TTK, hâkimiyetin varlığını kabul etmekle birlikte, bu hâkimiyetin sınırsız olmadığını ve bağlı şirketi kayba uğratacak şekilde kullanılmasının hukuki sorumluluk doğuracağını açıkça düzenlemiştir.</w:t>
      </w:r>
    </w:p>
    <w:p w14:paraId="57C57578" w14:textId="77777777" w:rsidR="003F00A8" w:rsidRPr="00E941B6" w:rsidRDefault="003F00A8" w:rsidP="003F00A8">
      <w:pPr>
        <w:rPr>
          <w:rFonts w:ascii="Times New Roman" w:hAnsi="Times New Roman" w:cs="Times New Roman"/>
          <w:color w:val="000000" w:themeColor="text1"/>
          <w:sz w:val="22"/>
          <w:szCs w:val="22"/>
        </w:rPr>
      </w:pPr>
      <w:r w:rsidRPr="00E941B6">
        <w:rPr>
          <w:rFonts w:ascii="Times New Roman" w:hAnsi="Times New Roman" w:cs="Times New Roman"/>
          <w:color w:val="000000" w:themeColor="text1"/>
          <w:sz w:val="22"/>
          <w:szCs w:val="22"/>
        </w:rPr>
        <w:t>Bu çerçevede, hâkim şirketlerin talimat ve kararlarında dikkat ve özen borcuna uygun hareket etmeleri; bağlı şirketlerin, pay sahiplerinin ve alacaklıların korunması açısından büyük önem taşımaktadır. Şirketler topluluğu hükümleri, hâkimiyet ilişkisini yasaklamaktan ziyade, bu ilişkinin hukuka uygun ve dengeli bir şekilde yürütülmesini amaçlayan modern bir sorumluluk rejimi öngörmektedir.</w:t>
      </w:r>
    </w:p>
    <w:p w14:paraId="545E6ABA" w14:textId="77777777" w:rsidR="00B07941" w:rsidRDefault="00B07941" w:rsidP="00B07941">
      <w:pPr>
        <w:tabs>
          <w:tab w:val="num" w:pos="360"/>
          <w:tab w:val="num" w:pos="567"/>
        </w:tabs>
        <w:spacing w:after="480" w:line="240" w:lineRule="auto"/>
        <w:textAlignment w:val="baseline"/>
        <w:rPr>
          <w:rFonts w:ascii="Times New Roman" w:hAnsi="Times New Roman" w:cs="Times New Roman"/>
          <w:b/>
          <w:bCs/>
          <w:sz w:val="22"/>
          <w:szCs w:val="22"/>
        </w:rPr>
      </w:pPr>
    </w:p>
    <w:p w14:paraId="49B9862F" w14:textId="7689618D" w:rsidR="00EC66B6" w:rsidRPr="00B07941" w:rsidRDefault="00FE2572" w:rsidP="00FE2572">
      <w:pPr>
        <w:tabs>
          <w:tab w:val="num" w:pos="360"/>
          <w:tab w:val="num" w:pos="567"/>
        </w:tabs>
        <w:spacing w:after="480" w:line="240" w:lineRule="auto"/>
        <w:jc w:val="right"/>
        <w:textAlignment w:val="baseline"/>
        <w:rPr>
          <w:rFonts w:ascii="Times New Roman" w:hAnsi="Times New Roman" w:cs="Times New Roman"/>
          <w:b/>
          <w:bCs/>
          <w:sz w:val="22"/>
          <w:szCs w:val="22"/>
        </w:rPr>
      </w:pPr>
      <w:r>
        <w:rPr>
          <w:rFonts w:ascii="Times New Roman" w:hAnsi="Times New Roman" w:cs="Times New Roman"/>
          <w:b/>
          <w:bCs/>
          <w:sz w:val="22"/>
          <w:szCs w:val="22"/>
        </w:rPr>
        <w:t>30 OCAK 2026</w:t>
      </w:r>
    </w:p>
    <w:p w14:paraId="33D61E18" w14:textId="4D509065" w:rsidR="00703721" w:rsidRPr="00EA5FB2" w:rsidRDefault="00DE5F78" w:rsidP="00703721">
      <w:pPr>
        <w:pStyle w:val="ListeParagraf"/>
        <w:numPr>
          <w:ilvl w:val="0"/>
          <w:numId w:val="1"/>
        </w:numPr>
        <w:tabs>
          <w:tab w:val="clear" w:pos="720"/>
          <w:tab w:val="num" w:pos="360"/>
          <w:tab w:val="num" w:pos="567"/>
        </w:tabs>
        <w:spacing w:after="480" w:line="240" w:lineRule="auto"/>
        <w:ind w:left="0" w:hanging="284"/>
        <w:textAlignment w:val="baseline"/>
        <w:rPr>
          <w:rFonts w:ascii="Times New Roman" w:hAnsi="Times New Roman" w:cs="Times New Roman"/>
          <w:b/>
          <w:bCs/>
          <w:sz w:val="22"/>
          <w:szCs w:val="22"/>
        </w:rPr>
      </w:pPr>
      <w:r w:rsidRPr="00DE5F78">
        <w:rPr>
          <w:rFonts w:ascii="Times New Roman" w:hAnsi="Times New Roman" w:cs="Times New Roman"/>
          <w:b/>
          <w:bCs/>
          <w:sz w:val="22"/>
          <w:szCs w:val="22"/>
        </w:rPr>
        <w:t xml:space="preserve">AİLE ŞİRKETLERİNDE KURUMSALLAŞMA VE PAY SAHİPLERİ İHTİLAFLARI </w:t>
      </w:r>
    </w:p>
    <w:p w14:paraId="6D5A6A4B"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Giriş</w:t>
      </w:r>
    </w:p>
    <w:p w14:paraId="40ACA992"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Türk ticari hayatında şirketlerin büyük çoğunluğunu aile şirketleri oluşturmaktadır. Buna karşın, bu şirketlerin önemli bir kısmının ikinci ve üçüncü kuşaklara sağlıklı biçimde devredilemediği, nesiller arası geçiş sürecinde yönetimsel ve yapısal sorunlar nedeniyle dağılma riskiyle karşı karşıya kaldığı görülmektedir. Aile şirketlerinin sürdürülebilirliğini tehdit eden bu sorunların başında, aile ilişkileri ile şirket ilişkilerinin birbirine karışması ve kurumsallaşmanın yeterince sağlanamaması gelmektedir.</w:t>
      </w:r>
    </w:p>
    <w:p w14:paraId="3AF2164A"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Aile şirketlerinde pay sahipleri arasındaki ihtilaflar, çoğu zaman yalnızca ticari nitelikte olmayıp aile bağlarının etkisiyle daha karmaşık ve yıkıcı sonuçlar doğurabilmektedir. Bu nedenle, aile şirketlerinde kurumsallaşma yalnızca iyi bir yönetim tercihi değil, aynı zamanda pay sahipleri arasındaki uyuşmazlıkların önlenmesi bakımından hukuki bir zorunluluk olarak ortaya çıkmaktadır.</w:t>
      </w:r>
    </w:p>
    <w:p w14:paraId="744DDCF6"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6102 sayılı Türk Ticaret Kanunu (“TTK”), şirketler hukukuna kurumsallaşmayı teşvik eden birçok mekanizma getirmiş olmakla birlikte, aile şirketlerinin kendine özgü yapısı nedeniyle kanuni düzenlemelerin tek başına yeterli olmadığı durumlar ortaya çıkmaktadır. Bu bağlamda, aile şirketlerinde kurumsallaşma, pay sahipleri ihtilaflarının önlenmesi ve şirketin sürdürülebilirliği açısından hukuki bir gereklilik haline gelmektedir.</w:t>
      </w:r>
    </w:p>
    <w:p w14:paraId="6A22BF87"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lastRenderedPageBreak/>
        <w:t>Bu çerçevede, aile şirketlerinde pay sahipleri arasındaki ilişkilerin hukuki zemine oturtulması sürecinde, tüm pay sahiplerinin aynı avukat veya hukuki danışman tarafından temsil edilmesi ciddi ticari ve hukuki çıkar çatışmalarına yol açabilmektedir. Özellikle azınlık pay sahipleri bakımından, şirketin ana sözleşmesi, pay sahipleri sözleşmesi ve benzeri kurumsal belgelerin hazırlanması ve yorumlanması sürecinde, her bir pay sahibinin kendi menfaatleri, vizyonu ve risk algısı doğrultusunda bağımsız bir hukuki danışmandan görüş alması, pay sahipliği ilişkilerinin sağlıklı kurulması ve ileride doğabilecek uyuşmazlıkların önlenmesi açısından elzemdir.</w:t>
      </w:r>
    </w:p>
    <w:p w14:paraId="521A891D"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Aile Şirketi Kavramı ve Temel Özellikleri</w:t>
      </w:r>
    </w:p>
    <w:p w14:paraId="5F0B0D07"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 xml:space="preserve">Aile şirketi kavramına ilişkin mevzuatta açık bir tanım bulunmamakla birlikte, bu kavram üzerinde </w:t>
      </w:r>
      <w:proofErr w:type="gramStart"/>
      <w:r w:rsidRPr="00453CA4">
        <w:rPr>
          <w:rFonts w:ascii="Times New Roman" w:hAnsi="Times New Roman" w:cs="Times New Roman"/>
          <w:color w:val="000000" w:themeColor="text1"/>
          <w:sz w:val="22"/>
          <w:szCs w:val="22"/>
        </w:rPr>
        <w:t>doktrin</w:t>
      </w:r>
      <w:proofErr w:type="gramEnd"/>
      <w:r w:rsidRPr="00453CA4">
        <w:rPr>
          <w:rFonts w:ascii="Times New Roman" w:hAnsi="Times New Roman" w:cs="Times New Roman"/>
          <w:color w:val="000000" w:themeColor="text1"/>
          <w:sz w:val="22"/>
          <w:szCs w:val="22"/>
        </w:rPr>
        <w:t xml:space="preserve"> ve uygulamada da tam bir görüş birliği bulunmamaktadır. Genel kabul gören yaklaşım uyarınca aile şirketi; mülkiyetin ve/veya yönetim yetkisinin büyük ölçüde aynı aileye mensup bireylerde toplandığı, stratejik kararların aile üyelerinin etkisi altında alındığı şirketler olarak tanımlanmaktadır. Bu şirketler çoğunlukla anonim veya limited şirket şeklinde örgütlenmekte olup, hukuki olarak TTK’nın genel hükümlerine tabidir. Ne var ki, pay sahipliği ilişkilerinin aile bağlarıyla iç içe geçmesi, TTK’da öngörülen çoğunluk–azınlık dengelerinin fiilen bozulmasına yol açabilmektedir. Özellikle TTK m. 408 ve devamında düzenlenen genel kurul yetkilerinin, aile içi güç ilişkileri doğrultusunda kullanılması, pay sahipleri ihtilaflarının temelini oluşturmaktadır.</w:t>
      </w:r>
    </w:p>
    <w:p w14:paraId="45FFAA2C" w14:textId="77777777" w:rsidR="00703721"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Aile şirketlerinin güçlü yönleri arasında uzun vadeli bakış açısı, hızlı karar alma mekanizmaları ve güçlü kurum kültürü yer alırken; kurucunun aşırı merkeziyetçi tutumu, liyakatten ziyade akrabalık ilişkilerinin ön plana çıkması ve nesil geçişine ilişkin planlamanın yapılmaması ise başlıca zayıf yönler olarak karşımıza çıkmaktadır. Bu zayıflıklar, özellikle pay sahipleri arasındaki ihtilafların yoğunlaşmasına ve şirketin kurumsal yapısının zarar görmesine yol açmaktadır.</w:t>
      </w:r>
    </w:p>
    <w:p w14:paraId="7C3031A6" w14:textId="77777777" w:rsidR="00703721" w:rsidRPr="00453CA4" w:rsidRDefault="00703721" w:rsidP="00703721">
      <w:pPr>
        <w:jc w:val="both"/>
        <w:rPr>
          <w:rFonts w:ascii="Times New Roman" w:hAnsi="Times New Roman" w:cs="Times New Roman"/>
          <w:color w:val="000000" w:themeColor="text1"/>
          <w:sz w:val="22"/>
          <w:szCs w:val="22"/>
        </w:rPr>
      </w:pPr>
    </w:p>
    <w:p w14:paraId="5FED9B13"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Kurumsallaşma Kavramı ve Aile Şirketleri Açısından Önemi</w:t>
      </w:r>
    </w:p>
    <w:p w14:paraId="396305CA"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Kurumsallaşma, şirketin faaliyetlerinin belirli kişilere bağımlı olmaktan çıkarılarak önceden belirlenmiş ilke, kural ve prosedürler çerçevesinde yürütülmesini ifade eder. Bu kapsamda kurumsallaşma; yönetim yetkilerinin sınırlandırılması, görev ve sorumlulukların açık biçimde tanımlanması, şeffaflık ve hesap verebilirliğin sağlanması gibi unsurları içerir.</w:t>
      </w:r>
    </w:p>
    <w:p w14:paraId="26E1E0B7"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Aile şirketleri bakımından kurumsallaşma, yalnızca şirket içi işleyişe ilişkin olmayıp aile ile şirket arasındaki ilişkinin de kurallara bağlanmasını gerekli kılar. Zira aile bağlarının baskın olduğu bir yapıda, rasyonel ticari kararların duygusal saiklerle gölgelenmesi riski her zaman mevcuttur. Bu nedenle kurumsallaşma sürecinin, öncelikle aile ilişkilerinde başlatılması ve akabinde şirket yapısına yansıtılması gerekmektedir.</w:t>
      </w:r>
    </w:p>
    <w:p w14:paraId="42768726"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Aile Şirketlerinde Pay Sahipleri İhtilaflarının Kaynakları</w:t>
      </w:r>
    </w:p>
    <w:p w14:paraId="582B9F42"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Aile şirketlerinde pay sahipleri arasındaki uyuşmazlıklar çoğunlukla yönetim hakkı, kâr payı dağıtımı, pay devri, miras ilişkileri ve şirket kaynaklarının kullanımı gibi alanlarda ortaya çıkmaktadır. Özellikle ikinci kuşakla birlikte pay sahiplerinin sayısının artması, karar alma süreçlerini zorlaştırmakta ve çoğunluk-azınlık çatışmalarını gündeme getirmektedir.</w:t>
      </w:r>
    </w:p>
    <w:p w14:paraId="1C899ABE"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Türk Ticaret Kanunu’nun öngördüğü genel kurallar, aile şirketlerinin kendine özgü dinamiklerini her zaman karşılayamamaktadır. Kanuni nisaplar ve karar mekanizmaları, aile içi güç dengelerini korumakta yetersiz kalabilmekte; bu durum pay sahipleri arasında güvensizlik ve çatışmayı derinleştirmektedir.</w:t>
      </w:r>
    </w:p>
    <w:p w14:paraId="660236D9"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lastRenderedPageBreak/>
        <w:t>Özellikle çoğunluk pay sahiplerinin, TTK’nın sağladığı çoğunluk gücünü kötüye kullanarak azınlık pay sahiplerini dışlayıcı kararlar alması, azınlığın korunmasına ilişkin hükümleri (TTK m. 411, m. 439, m. 531) gündeme getirmektedir. Bu tür durumlarda, aile şirketi içi ihtilaflar sıklıkla fesih davası veya sorumluluk davası yoluyla yargıya taşınmaktadır.</w:t>
      </w:r>
    </w:p>
    <w:p w14:paraId="7DFF1C23"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Pay Sahipleri Sözleşmeleri ve İhtilafların Önlenmesi</w:t>
      </w:r>
    </w:p>
    <w:p w14:paraId="3EE76DD7"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Pay sahipleri sözleşmeleri, aile şirketlerinde pay sahipleri arasındaki ilişkilerin ayrıntılı biçimde düzenlenmesine imkân tanıyan, sözleşme serbestisi ilkesine dayalı hukuki araçlardır. Pay sahipleri sözleşmeleri, TTK’da açıkça düzenlenmemiş olmakla birlikte, 6098 sayılı Türk Borçlar Kanunu’nun (“TBK”) sözleşme serbestisi ilkesine (TBK m. 26–27) dayanmaktadır. Bu sözleşmeler aracılığıyla; yönetim ve temsil yetkileri, ağırlaştırılmış toplantı ve karar nisapları, kâr dağıtım politikaları, finansman yöntemleri ve pay devir sınırlamaları önceden belirlenerek muhtemel uyuşmazlıkların önüne geçilmesi amaçlanır.</w:t>
      </w:r>
    </w:p>
    <w:p w14:paraId="4F6DA626"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Pay sahipleri sözleşmelerinin en önemli işlevlerinden biri, aile şirketlerinde çoğunluğun keyfi kararlar almasının önlenmesi ve azınlık pay sahiplerinin korunmasıdır. Özellikle birleşme, bölünme, tür değişikliği ve imtiyazlı pay oluşturulması gibi şirketin kaderini etkileyen kararlar bakımından ağırlaştırılmış nisaplar öngörülmesi, aile içi dengeyi sağlamada etkili bir yöntemdir.</w:t>
      </w:r>
    </w:p>
    <w:p w14:paraId="3C8BDFDD"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Aile Anayasası ve Kurumsallaşmaya Katkısı</w:t>
      </w:r>
    </w:p>
    <w:p w14:paraId="5D17F5E1"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Aile anayasası, aile üyeleri ile şirket arasındaki ilişkileri düzenleyen, yazılı ve çoğunlukla atipik bir sözleşme niteliği taşıyan bir metindir. Aile anayasaları, aile değerlerini, aile üyelerinin rollerini, şirketle olan ilişkilerin temel ilkelerini ve nesiller arası geçişe ilişkin kuralları belirleyerek kurumsallaşma sürecine önemli katkı sağlar.</w:t>
      </w:r>
    </w:p>
    <w:p w14:paraId="7B409559"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Her ne kadar aile anayasaları doğrudan şirket tüzel kişiliğini bağlamasa da bu metinlerde yer alan kuralların pay sahipleri sözleşmesine veya esas sözleşmeye yansıtılması suretiyle hukuki bağlayıcılığın genişletilmesi mümkündür. Bu yönüyle aile anayasası, pay sahipleri sözleşmeleriyle birlikte değerlendirildiğinde aile şirketlerinde ihtilaf önleyici bir işlev üstlenmektedir.</w:t>
      </w:r>
    </w:p>
    <w:p w14:paraId="77AE64A6" w14:textId="77777777" w:rsidR="00703721" w:rsidRPr="00453CA4" w:rsidRDefault="00703721" w:rsidP="00703721">
      <w:pPr>
        <w:jc w:val="both"/>
        <w:rPr>
          <w:rFonts w:ascii="Times New Roman" w:hAnsi="Times New Roman" w:cs="Times New Roman"/>
          <w:b/>
          <w:bCs/>
          <w:color w:val="000000" w:themeColor="text1"/>
          <w:sz w:val="22"/>
          <w:szCs w:val="22"/>
        </w:rPr>
      </w:pPr>
      <w:r w:rsidRPr="00453CA4">
        <w:rPr>
          <w:rFonts w:ascii="Times New Roman" w:hAnsi="Times New Roman" w:cs="Times New Roman"/>
          <w:b/>
          <w:bCs/>
          <w:color w:val="000000" w:themeColor="text1"/>
          <w:sz w:val="22"/>
          <w:szCs w:val="22"/>
        </w:rPr>
        <w:t>Sonuç ve Değerlendirme</w:t>
      </w:r>
    </w:p>
    <w:p w14:paraId="7858351A"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Aile şirketlerinde sürdürülebilirliğin sağlanması, yalnızca ekonomik başarıya değil, aile içi ilişkilerin ve pay sahipliği yapısının sağlıklı biçimde yönetilmesine bağlıdır. Kurumsallaşmanın sağlanamadığı aile şirketlerinde pay sahipleri arasındaki ihtilaflar kaçınılmaz hale gelmekte ve bu durum şirketin varlığını tehdit etmektedir.</w:t>
      </w:r>
    </w:p>
    <w:p w14:paraId="6AFA2FF0"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Bu noktada ayrıca vurgulanmalıdır ki, aile şirketlerinde kurumsallaşma sürecinin hukuki altyapısının oluşturulmasında, tüm pay sahiplerinin aynı hukuki temsil altında hareket etmesi, görünürde pratik bir çözüm gibi dursa da uzun vadede ciddi menfaat çatışmalarını beraberinde getirebilmektedir. Özellikle azınlık pay sahipleri bakımından, çoğunluğun iradesiyle şekillenen hukuki metinlerin sorgulanmaksızın kabul edilmesi, pay sahipliği haklarının zayıflamasına yol açabilmektedir. Bu nedenle, ana sözleşme, pay sahipleri sözleşmesi ve aile anayasası gibi şirketin kaderini doğrudan etkileyen belgelerin hazırlanması ve müzakere edilmesi sürecinde, her bir pay sahibinin bağımsız bir avukat veya hukuki danışman tarafından temsil edilmesi, kurumsallaşmanın sağlıklı işlemesi ve pay sahipleri ihtilaflarının önlenmesi bakımından vazgeçilmez bir unsur olarak değerlendirilmelidir.</w:t>
      </w:r>
    </w:p>
    <w:p w14:paraId="1B0DF005" w14:textId="77777777" w:rsidR="00703721" w:rsidRPr="00453CA4" w:rsidRDefault="00703721" w:rsidP="00703721">
      <w:pPr>
        <w:jc w:val="both"/>
        <w:rPr>
          <w:rFonts w:ascii="Times New Roman" w:hAnsi="Times New Roman" w:cs="Times New Roman"/>
          <w:color w:val="000000" w:themeColor="text1"/>
          <w:sz w:val="22"/>
          <w:szCs w:val="22"/>
        </w:rPr>
      </w:pPr>
      <w:r w:rsidRPr="00453CA4">
        <w:rPr>
          <w:rFonts w:ascii="Times New Roman" w:hAnsi="Times New Roman" w:cs="Times New Roman"/>
          <w:color w:val="000000" w:themeColor="text1"/>
          <w:sz w:val="22"/>
          <w:szCs w:val="22"/>
        </w:rPr>
        <w:t xml:space="preserve">Bu bağlamda, pay sahipleri sözleşmeleri ve aile anayasaları, aile şirketlerinde hem kurumsallaşmanın sağlanması hem de pay sahipleri ihtilaflarının önlenmesi bakımından tamamlayıcı nitelikte hukuki araçlar olarak öne çıkmaktadır. Aile şirketlerinin uzun vadeli başarısı için bu araçların, ailenin kendine </w:t>
      </w:r>
      <w:r w:rsidRPr="00453CA4">
        <w:rPr>
          <w:rFonts w:ascii="Times New Roman" w:hAnsi="Times New Roman" w:cs="Times New Roman"/>
          <w:color w:val="000000" w:themeColor="text1"/>
          <w:sz w:val="22"/>
          <w:szCs w:val="22"/>
        </w:rPr>
        <w:lastRenderedPageBreak/>
        <w:t>özgü dinamikleri dikkate alınarak ve Türk Ticaret Kanunu’nun izin verdiği sınırlar çerçevesinde dikkatle kurgulanması büyük önem taşımaktadır.</w:t>
      </w:r>
    </w:p>
    <w:p w14:paraId="7907E57A" w14:textId="77777777" w:rsidR="00703721" w:rsidRDefault="00703721" w:rsidP="00703721">
      <w:pPr>
        <w:tabs>
          <w:tab w:val="num" w:pos="360"/>
          <w:tab w:val="num" w:pos="567"/>
        </w:tabs>
        <w:spacing w:after="480" w:line="240" w:lineRule="auto"/>
        <w:textAlignment w:val="baseline"/>
        <w:rPr>
          <w:rFonts w:ascii="Times New Roman" w:hAnsi="Times New Roman" w:cs="Times New Roman"/>
          <w:b/>
          <w:bCs/>
          <w:sz w:val="22"/>
          <w:szCs w:val="22"/>
        </w:rPr>
      </w:pPr>
    </w:p>
    <w:p w14:paraId="09F276FB" w14:textId="77777777" w:rsidR="00EA5FB2" w:rsidRDefault="00EA5FB2" w:rsidP="00703721">
      <w:pPr>
        <w:tabs>
          <w:tab w:val="num" w:pos="360"/>
          <w:tab w:val="num" w:pos="567"/>
        </w:tabs>
        <w:spacing w:after="480" w:line="240" w:lineRule="auto"/>
        <w:textAlignment w:val="baseline"/>
        <w:rPr>
          <w:rFonts w:ascii="Times New Roman" w:hAnsi="Times New Roman" w:cs="Times New Roman"/>
          <w:b/>
          <w:bCs/>
          <w:sz w:val="22"/>
          <w:szCs w:val="22"/>
        </w:rPr>
      </w:pPr>
    </w:p>
    <w:p w14:paraId="4C853531" w14:textId="1194A678" w:rsidR="00EA5FB2" w:rsidRPr="00703721" w:rsidRDefault="00FE2572" w:rsidP="00FE2572">
      <w:pPr>
        <w:tabs>
          <w:tab w:val="num" w:pos="360"/>
          <w:tab w:val="num" w:pos="567"/>
        </w:tabs>
        <w:spacing w:after="480" w:line="240" w:lineRule="auto"/>
        <w:jc w:val="right"/>
        <w:textAlignment w:val="baseline"/>
        <w:rPr>
          <w:rFonts w:ascii="Times New Roman" w:hAnsi="Times New Roman" w:cs="Times New Roman"/>
          <w:b/>
          <w:bCs/>
          <w:sz w:val="22"/>
          <w:szCs w:val="22"/>
        </w:rPr>
      </w:pPr>
      <w:r>
        <w:rPr>
          <w:rFonts w:ascii="Times New Roman" w:hAnsi="Times New Roman" w:cs="Times New Roman"/>
          <w:b/>
          <w:bCs/>
          <w:sz w:val="22"/>
          <w:szCs w:val="22"/>
        </w:rPr>
        <w:t>27 ŞUBAT 2026</w:t>
      </w:r>
    </w:p>
    <w:p w14:paraId="212CF9A9" w14:textId="2E4F8450" w:rsidR="001840C5" w:rsidRPr="001840C5" w:rsidRDefault="00DE5F78" w:rsidP="00DE5F78">
      <w:pPr>
        <w:pStyle w:val="ListeParagraf"/>
        <w:numPr>
          <w:ilvl w:val="0"/>
          <w:numId w:val="1"/>
        </w:numPr>
        <w:tabs>
          <w:tab w:val="clear" w:pos="720"/>
          <w:tab w:val="num" w:pos="360"/>
          <w:tab w:val="num" w:pos="567"/>
        </w:tabs>
        <w:spacing w:after="480" w:line="240" w:lineRule="auto"/>
        <w:ind w:left="0" w:hanging="284"/>
        <w:textAlignment w:val="baseline"/>
        <w:rPr>
          <w:rFonts w:ascii="Times New Roman" w:hAnsi="Times New Roman" w:cs="Times New Roman"/>
          <w:b/>
          <w:bCs/>
          <w:sz w:val="22"/>
          <w:szCs w:val="22"/>
        </w:rPr>
      </w:pPr>
      <w:r w:rsidRPr="00DE5F78">
        <w:rPr>
          <w:rFonts w:ascii="Times New Roman" w:hAnsi="Times New Roman" w:cs="Times New Roman"/>
          <w:b/>
          <w:bCs/>
          <w:sz w:val="22"/>
          <w:szCs w:val="22"/>
        </w:rPr>
        <w:t>ANONİM ORTAKLIKLARDA AZINLIK KORUMA MEKANİZMALARI VE PAY DEVRİ OPSİYONLARI</w:t>
      </w:r>
    </w:p>
    <w:p w14:paraId="6F4C5348"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Anonim şirketlerde, sermaye sahiplerinin çoğunluğunu elinde bulunduran pay sahipleri ile azınlık pay sahipleri arasında doğal bir güç dengesizliği bulunmaktadır. Çoğunluk pay sahipleri şirket yönetiminde ve genel kurul kararlarında belirleyici rol oynarken, azınlık pay sahipleri çoğunluk kararlarının etkisi altında kalabilmektedir. Bu durum, azınlık pay sahiplerinin haklarının korunmasını hem hukuki hem de pratik açıdan önemli hale getirmektedir. Türk Ticaret Kanunu (“</w:t>
      </w:r>
      <w:r w:rsidRPr="001840C5">
        <w:rPr>
          <w:rFonts w:ascii="Times New Roman" w:eastAsia="Times New Roman" w:hAnsi="Times New Roman" w:cs="Times New Roman"/>
          <w:b/>
          <w:bCs/>
          <w:kern w:val="0"/>
          <w:sz w:val="22"/>
          <w:szCs w:val="22"/>
          <w:bdr w:val="none" w:sz="0" w:space="0" w:color="auto" w:frame="1"/>
          <w:lang w:eastAsia="tr-TR"/>
          <w14:ligatures w14:val="none"/>
        </w:rPr>
        <w:t>TTK</w:t>
      </w:r>
      <w:r w:rsidRPr="001840C5">
        <w:rPr>
          <w:rFonts w:ascii="Times New Roman" w:eastAsia="Times New Roman" w:hAnsi="Times New Roman" w:cs="Times New Roman"/>
          <w:kern w:val="0"/>
          <w:sz w:val="22"/>
          <w:szCs w:val="22"/>
          <w:lang w:eastAsia="tr-TR"/>
          <w14:ligatures w14:val="none"/>
        </w:rPr>
        <w:t>”) ve diğer ilgili mevzuat bu dengeyi gözeterek azınlık pay sahiplerinin korunmasını çeşitli mekanizmalar aracılığıyla sağlamaktadır.</w:t>
      </w:r>
    </w:p>
    <w:p w14:paraId="5E23EEF6"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Azınlık pay sahiplerinin korunması, yalnızca çoğunluğun fırsatçı davranışlarına karşı önlem almakla kalmaz; aynı zamanda hâkim pay sahibinin şirketten sağladığı ekonomik ve yönetimsel faydaları azınlığın aleyhine kullanmasını da önler. Bu makalede, Türk anonim şirketlerinde azınlık pay sahiplerinin hakları, mevcut hukuki düzenlemeler ve birleşme-devralma süreçlerinde karşılaşabilecekleri riskler ele alınacaktır.</w:t>
      </w:r>
    </w:p>
    <w:p w14:paraId="23932C4F"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Kavramsal Çerçeve</w:t>
      </w:r>
    </w:p>
    <w:p w14:paraId="60179D7A"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Anonim şirketlerde azınlık pay sahipleri, şirketin toplam sermayesinin küçük bir kısmına sahip olan pay sahiplerini ifade eder. TTK 411. maddesi uyarınca, halka kapalı şirketlerde sermayenin en az %10’unu, halka açık şirketlerde ise %5’ini temsil eden pay sahipleri “azınlık pay sahibi” olarak nitelendirilir. Azınlık kavramı, yalnızca sahip olunan pay oranına bağlı kalmayıp, ilgili pay sahiplerinin şirket yönetimi ve genel kurul kararları üzerindeki etkisizliğine dayalı bir korunma gereksinimi ile ilgilidir</w:t>
      </w:r>
    </w:p>
    <w:p w14:paraId="050135CE"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Azınlık pay sahiplerinin haklarının korunmasında iki temel yaklaşım bulunmaktadır:</w:t>
      </w:r>
    </w:p>
    <w:p w14:paraId="1A79C334"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1. Geleneksel Tasnif: Olumlu ve Olumsuz Haklar</w:t>
      </w:r>
    </w:p>
    <w:p w14:paraId="4C42718A"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Olumlu azınlık hakları, azınlık pay sahiplerinin çoğunluğa karşı şirket iradesini etkilemesine olanak tanır (ör. özel denetçi atanmasını talep etme, haklı sebeplerle fesih davası açma). Olumsuz azınlık hakları, çoğunluk kararlarının uygulanmasını engelleyerek azınlık lehine denge oluşturur (ör. ağırlaştırılmış nisap, sulh ve ibraya engel olma)</w:t>
      </w:r>
    </w:p>
    <w:p w14:paraId="2C0A9832"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2. Yeni Yaklaşım: Söz ve Çıkış Hakları Temelli Tasnif</w:t>
      </w:r>
    </w:p>
    <w:p w14:paraId="2D7D8092"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Bu yaklaşım, azınlığı koruyan düzenlemeleri beş başlık altında sınıflandırır: söz hakları, çıkış hakları, altyapısal haklar, boşluk doldurucu ilkeler ve çeperler.</w:t>
      </w:r>
    </w:p>
    <w:p w14:paraId="42BA22AD" w14:textId="77777777" w:rsidR="001840C5" w:rsidRPr="001840C5" w:rsidRDefault="001840C5" w:rsidP="001840C5">
      <w:pPr>
        <w:numPr>
          <w:ilvl w:val="0"/>
          <w:numId w:val="15"/>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Söz hakları:</w:t>
      </w:r>
      <w:r w:rsidRPr="001840C5">
        <w:rPr>
          <w:rFonts w:ascii="Times New Roman" w:eastAsia="Times New Roman" w:hAnsi="Times New Roman" w:cs="Times New Roman"/>
          <w:kern w:val="0"/>
          <w:sz w:val="22"/>
          <w:szCs w:val="22"/>
          <w:bdr w:val="none" w:sz="0" w:space="0" w:color="auto" w:frame="1"/>
          <w:lang w:eastAsia="tr-TR"/>
          <w14:ligatures w14:val="none"/>
        </w:rPr>
        <w:t xml:space="preserve"> </w:t>
      </w:r>
      <w:r w:rsidRPr="001840C5">
        <w:rPr>
          <w:rFonts w:ascii="Times New Roman" w:eastAsia="Times New Roman" w:hAnsi="Times New Roman" w:cs="Times New Roman"/>
          <w:kern w:val="0"/>
          <w:sz w:val="22"/>
          <w:szCs w:val="22"/>
          <w:lang w:eastAsia="tr-TR"/>
          <w14:ligatures w14:val="none"/>
        </w:rPr>
        <w:t>Azınlık pay sahiplerinin şirket kararlarını etkileyebilmesini sağlar (oy hakkı, organ kararlarının hükümsüzlüğü, sorumluluk yaptırımları).</w:t>
      </w:r>
    </w:p>
    <w:p w14:paraId="79D1252E" w14:textId="77777777" w:rsidR="001840C5" w:rsidRPr="001840C5" w:rsidRDefault="001840C5" w:rsidP="001840C5">
      <w:pPr>
        <w:numPr>
          <w:ilvl w:val="0"/>
          <w:numId w:val="15"/>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lastRenderedPageBreak/>
        <w:t>Çıkış hakları:</w:t>
      </w:r>
      <w:r w:rsidRPr="001840C5">
        <w:rPr>
          <w:rFonts w:ascii="Times New Roman" w:eastAsia="Times New Roman" w:hAnsi="Times New Roman" w:cs="Times New Roman"/>
          <w:kern w:val="0"/>
          <w:sz w:val="22"/>
          <w:szCs w:val="22"/>
          <w:bdr w:val="none" w:sz="0" w:space="0" w:color="auto" w:frame="1"/>
          <w:lang w:eastAsia="tr-TR"/>
          <w14:ligatures w14:val="none"/>
        </w:rPr>
        <w:t xml:space="preserve"> </w:t>
      </w:r>
      <w:r w:rsidRPr="001840C5">
        <w:rPr>
          <w:rFonts w:ascii="Times New Roman" w:eastAsia="Times New Roman" w:hAnsi="Times New Roman" w:cs="Times New Roman"/>
          <w:kern w:val="0"/>
          <w:sz w:val="22"/>
          <w:szCs w:val="22"/>
          <w:lang w:eastAsia="tr-TR"/>
          <w14:ligatures w14:val="none"/>
        </w:rPr>
        <w:t>Pay sahiplerinin yatırımını adil bir bedelle geri alabilmesine imkân tanır (serbest çıkış ve güvenli çıkış hakları, TTK 531, TTK 202).</w:t>
      </w:r>
    </w:p>
    <w:p w14:paraId="678C49D9" w14:textId="77777777" w:rsidR="001840C5" w:rsidRPr="001840C5" w:rsidRDefault="001840C5" w:rsidP="001840C5">
      <w:pPr>
        <w:numPr>
          <w:ilvl w:val="0"/>
          <w:numId w:val="15"/>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Altyapısal haklar:</w:t>
      </w:r>
      <w:r w:rsidRPr="001840C5">
        <w:rPr>
          <w:rFonts w:ascii="Times New Roman" w:eastAsia="Times New Roman" w:hAnsi="Times New Roman" w:cs="Times New Roman"/>
          <w:kern w:val="0"/>
          <w:sz w:val="22"/>
          <w:szCs w:val="22"/>
          <w:bdr w:val="none" w:sz="0" w:space="0" w:color="auto" w:frame="1"/>
          <w:lang w:eastAsia="tr-TR"/>
          <w14:ligatures w14:val="none"/>
        </w:rPr>
        <w:t xml:space="preserve"> </w:t>
      </w:r>
      <w:r w:rsidRPr="001840C5">
        <w:rPr>
          <w:rFonts w:ascii="Times New Roman" w:eastAsia="Times New Roman" w:hAnsi="Times New Roman" w:cs="Times New Roman"/>
          <w:kern w:val="0"/>
          <w:sz w:val="22"/>
          <w:szCs w:val="22"/>
          <w:lang w:eastAsia="tr-TR"/>
          <w14:ligatures w14:val="none"/>
        </w:rPr>
        <w:t>Söz ve çıkış haklarının kullanılabilmesini sağlayan düzenlemeleri kapsar (bilgi alma hakkı, genel kurul çağrı ve gündem hakkı).</w:t>
      </w:r>
    </w:p>
    <w:p w14:paraId="0BF9F8A8" w14:textId="77777777" w:rsidR="001840C5" w:rsidRPr="001840C5" w:rsidRDefault="001840C5" w:rsidP="001840C5">
      <w:pPr>
        <w:numPr>
          <w:ilvl w:val="0"/>
          <w:numId w:val="15"/>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Boşluk doldurucu ilkeler:</w:t>
      </w:r>
      <w:r w:rsidRPr="001840C5">
        <w:rPr>
          <w:rFonts w:ascii="Times New Roman" w:eastAsia="Times New Roman" w:hAnsi="Times New Roman" w:cs="Times New Roman"/>
          <w:kern w:val="0"/>
          <w:sz w:val="22"/>
          <w:szCs w:val="22"/>
          <w:bdr w:val="none" w:sz="0" w:space="0" w:color="auto" w:frame="1"/>
          <w:lang w:eastAsia="tr-TR"/>
          <w14:ligatures w14:val="none"/>
        </w:rPr>
        <w:t xml:space="preserve"> </w:t>
      </w:r>
      <w:r w:rsidRPr="001840C5">
        <w:rPr>
          <w:rFonts w:ascii="Times New Roman" w:eastAsia="Times New Roman" w:hAnsi="Times New Roman" w:cs="Times New Roman"/>
          <w:kern w:val="0"/>
          <w:sz w:val="22"/>
          <w:szCs w:val="22"/>
          <w:lang w:eastAsia="tr-TR"/>
          <w14:ligatures w14:val="none"/>
        </w:rPr>
        <w:t>Dürüstlük ve eşit muamele ilkesi gibi soyut prensipler azınlığı korur.</w:t>
      </w:r>
    </w:p>
    <w:p w14:paraId="0FC4EAF3" w14:textId="77777777" w:rsidR="001840C5" w:rsidRPr="001840C5" w:rsidRDefault="001840C5" w:rsidP="001840C5">
      <w:pPr>
        <w:numPr>
          <w:ilvl w:val="0"/>
          <w:numId w:val="15"/>
        </w:num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Çeperler:</w:t>
      </w:r>
      <w:r w:rsidRPr="001840C5">
        <w:rPr>
          <w:rFonts w:ascii="Times New Roman" w:eastAsia="Times New Roman" w:hAnsi="Times New Roman" w:cs="Times New Roman"/>
          <w:kern w:val="0"/>
          <w:sz w:val="22"/>
          <w:szCs w:val="22"/>
          <w:bdr w:val="none" w:sz="0" w:space="0" w:color="auto" w:frame="1"/>
          <w:lang w:eastAsia="tr-TR"/>
          <w14:ligatures w14:val="none"/>
        </w:rPr>
        <w:t xml:space="preserve"> </w:t>
      </w:r>
      <w:r w:rsidRPr="001840C5">
        <w:rPr>
          <w:rFonts w:ascii="Times New Roman" w:eastAsia="Times New Roman" w:hAnsi="Times New Roman" w:cs="Times New Roman"/>
          <w:kern w:val="0"/>
          <w:sz w:val="22"/>
          <w:szCs w:val="22"/>
          <w:lang w:eastAsia="tr-TR"/>
          <w14:ligatures w14:val="none"/>
        </w:rPr>
        <w:t>Emredici hükümler ve pay sahibinin vazgeçilemeyen hakları, azınlık haklarını hâkim pay sahibinin iradesinden korur</w:t>
      </w:r>
    </w:p>
    <w:p w14:paraId="10761C4F"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Türk Hukuku Kapsamında Azınlık Hakları</w:t>
      </w:r>
    </w:p>
    <w:p w14:paraId="1E28C6BD"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A- Bilgi Alma ve İnceleme Hakkı</w:t>
      </w:r>
    </w:p>
    <w:p w14:paraId="1D5CF171"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Azınlık pay sahipleri, şirket yönetimi hakkında bilgi sahibi olmalı ve haklarını bilinçli kullanabilmelidir. TTK 437 uyarınca, pay sahipleri finansal tablolar, faaliyet ve denetim raporlarını genel kurul toplantısından en az 15 gün önce inceleyebilir. Tanınan bu hak vazgeçilmez haklardan olup, kaldırılamaz ve sınırlandırılamaz. Bilgi alma veya inceleme istemleri yanıtsız bırakılan, reddedilen, ertelenen ve bilgi alamayan pay sahipleri redddi izleyen on gün içinde, diğer hallerde de makul bir süre sonra, şirket merkezinin bulunduğu asliye ticaret mahkemesine başvurabilir.</w:t>
      </w:r>
    </w:p>
    <w:p w14:paraId="11A7390C"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B- Genel Kurul Toplantısına Çağırma ve Gündeme Madde Ekletme Hakkı</w:t>
      </w:r>
    </w:p>
    <w:p w14:paraId="57442F4A"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Azınlık pay sahipleri, genel kurulu toplantıya çağırabilir veya gündeme madde ekletebilir. TTK 411 ve ilgili maddeler uyarınca bu talepler noter aracılığıyla iletilir.  Azınlık pay sahiplerine tanınan bu hak ile genel kurulun toplanmasına ilişkin şirket yönetim kurulu ile azınlık pay sahipleri arasındaki şirketin yönetilmesine ilişkin anlaşmazlığın giderilmesi, azınlığın talebi üzerine genel kurul toplantısının yapılması ve azınlığın görüşülmesinin istediklerini konuların gündeme alınmasının sağlanma yoluyla bir anlamda anonim şirket idaresine katılması amaçlanmaktadır.</w:t>
      </w:r>
    </w:p>
    <w:p w14:paraId="6DD710FB"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C- Özel Denetçi Atanmasını Talep Etme Hakkı</w:t>
      </w:r>
    </w:p>
    <w:p w14:paraId="6EB36AFC"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TTK 438 uyarınca, azınlık pay sahipleri belirli olayların açıklığa kavuşması için özel denetçi atanmasını talep edebilir. Yargıtay, özel denetçi tayini için kesin kanıt aranmaması gerektiğini vurgulamıştır (Yargıtay 11. Hukuk Dairesi, 2000/5472 E., 2000/6335 K.) Özet denetim talebi, pay yüzdesinden bağımsız tüm pay sahiplerine tanınmış bireysel bir hak olmakla birlikte, genel kurulun özel denetim talebini reddetmesi durumunda, mahkemeye başvuru için azınlık pay sahiplerinin bir araya gelerek, yeterli pay oranını sağlamaları gerekmektedir. Mahkemeye yapılacak başvuruda da halka kapalı şirketlerde sermayenin en az onda birine sahip veya payların itibari değeri toplamı en az bir milyon Türk lirası olan pay sahipleri üç ay içinde şirket merkezinin bulunduğu yer asliye ticaret mahkemesinden özel denetçi atanmasını isteyebilir.</w:t>
      </w:r>
    </w:p>
    <w:p w14:paraId="741C44D9"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D- Haklı Sebeplerle Şirketin Feshi</w:t>
      </w:r>
    </w:p>
    <w:p w14:paraId="7B8A2A0C"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TTK 531, sermayenin belirli oranına sahip pay sahiplerine haklı sebep durumunda şirketin feshi davası açma hakkı tanır. Özellikle aile şirketlerinde kişisel sebepler de haklı sebep sayılabilmektedir (Yargıtay 11. Hukuk Dairesi, 2019/2942E., 2021/1647 K.)</w:t>
      </w:r>
    </w:p>
    <w:p w14:paraId="7E7BF9E1"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E- Finansal Tabloların Müzakeresinin Ertelenmesi</w:t>
      </w:r>
    </w:p>
    <w:p w14:paraId="752E1FC0"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 xml:space="preserve">TTK 413/3 ve 420/1 uyarınca, azınlık pay sahipleri bilanço görüşmelerinin en az bir ay ileriye ertelenmesini talep edebilir. Bu talep için gerekçe gösterilmesi zorunlu değildir (Yargıtay 11. Hukuk Dairesi, 2015/7411 E., 2016/3647 K.) Azınlık pay sahiplerine tanınan bu hak ile teknik muhasebe bilgisi gerektiren finansal tabloların içerdiği bilgilerin ayrıntılı bir şekilde incelenmesi </w:t>
      </w:r>
      <w:proofErr w:type="gramStart"/>
      <w:r w:rsidRPr="001840C5">
        <w:rPr>
          <w:rFonts w:ascii="Times New Roman" w:eastAsia="Times New Roman" w:hAnsi="Times New Roman" w:cs="Times New Roman"/>
          <w:kern w:val="0"/>
          <w:sz w:val="22"/>
          <w:szCs w:val="22"/>
          <w:lang w:eastAsia="tr-TR"/>
          <w14:ligatures w14:val="none"/>
        </w:rPr>
        <w:t>imkanı</w:t>
      </w:r>
      <w:proofErr w:type="gramEnd"/>
      <w:r w:rsidRPr="001840C5">
        <w:rPr>
          <w:rFonts w:ascii="Times New Roman" w:eastAsia="Times New Roman" w:hAnsi="Times New Roman" w:cs="Times New Roman"/>
          <w:kern w:val="0"/>
          <w:sz w:val="22"/>
          <w:szCs w:val="22"/>
          <w:lang w:eastAsia="tr-TR"/>
          <w14:ligatures w14:val="none"/>
        </w:rPr>
        <w:t xml:space="preserve"> tanınmaktadır.</w:t>
      </w:r>
    </w:p>
    <w:p w14:paraId="05850210"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Birleşme ve Devralmalarda Azınlık Hakları</w:t>
      </w:r>
    </w:p>
    <w:p w14:paraId="5AACD649"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lastRenderedPageBreak/>
        <w:t>Birleşme ve devralma işlemleri, şirketlerin yapısında önemli değişiklikler yaratır ve azınlık pay sahipleri bu süreçte özellikle risk altındadır. TTK 140 ve 141. maddeleri, birleşme sürecinde pay sahiplerinin mevcut haklarını koruma ve adil bir bedel karşılığında paylarını satabilme (ayrılma akçesi) imkanını düzenler. Birleşmenin azınlık hissedarları açısından haklı bir sebep olmaksızın katlanılamaz bir fedakârlık doğurması halinde, paylarının gerçek değer üzerinden satın alınmasını talep edebilirler (TTK m. 141). Bu hak, ayrılma akçesi (exit payment) olarak da adlandırılır ve azınlık hissedarlarının birleşme nedeniyle uğrayacakları zararları telafi etmeyi amaçlar</w:t>
      </w:r>
    </w:p>
    <w:p w14:paraId="33A58A62"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Azınlık pay sahipleri, birleşme öncesinde belgeleri inceleyerek bilinçli karar verebilir ve TTK kapsamında kanuna veya ana sözleşmeye aykırı alınan kararların iptali için dava açabilir. Bu süreçte oy kullanma ve çıkış hakları kritik öneme sahiptir</w:t>
      </w:r>
    </w:p>
    <w:p w14:paraId="70BA9F99"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Azınlık Pay Sahiplerinin Karşılaştığı Riskler</w:t>
      </w:r>
    </w:p>
    <w:p w14:paraId="4289B428" w14:textId="77777777" w:rsidR="001840C5" w:rsidRPr="001840C5" w:rsidRDefault="001840C5" w:rsidP="001840C5">
      <w:pPr>
        <w:numPr>
          <w:ilvl w:val="0"/>
          <w:numId w:val="16"/>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Çoğunluğun kontrolünde yönetim kararları, azınlık çıkarlarını göz ardı edebilir.</w:t>
      </w:r>
    </w:p>
    <w:p w14:paraId="37D13ADF" w14:textId="77777777" w:rsidR="001840C5" w:rsidRPr="001840C5" w:rsidRDefault="001840C5" w:rsidP="001840C5">
      <w:pPr>
        <w:numPr>
          <w:ilvl w:val="0"/>
          <w:numId w:val="16"/>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Birleşme sonrası yeni şirketin performansındaki belirsizlik, pay değerlerinde dalgalanmaya yol açabilir.</w:t>
      </w:r>
    </w:p>
    <w:p w14:paraId="70CC5CC4" w14:textId="77777777" w:rsidR="001840C5" w:rsidRPr="001840C5" w:rsidRDefault="001840C5" w:rsidP="001840C5">
      <w:pPr>
        <w:numPr>
          <w:ilvl w:val="0"/>
          <w:numId w:val="16"/>
        </w:numPr>
        <w:spacing w:after="12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Büyük pay sahipleri tarafından azınlığa yeterli bilgi verilmemesi, hakların etkin kullanılmasını engelleyebilir.</w:t>
      </w:r>
    </w:p>
    <w:p w14:paraId="6B0FD0A6"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Bu risklerin azaltılması için pay sahipleri sözleşmeleri, altyapısal haklar ve çıkış mekanizmaları etkin bir şekilde kullanılmalıdır</w:t>
      </w:r>
    </w:p>
    <w:p w14:paraId="58C45D79" w14:textId="77777777" w:rsidR="001840C5" w:rsidRPr="001840C5" w:rsidRDefault="001840C5" w:rsidP="001840C5">
      <w:pPr>
        <w:spacing w:after="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b/>
          <w:bCs/>
          <w:kern w:val="0"/>
          <w:sz w:val="22"/>
          <w:szCs w:val="22"/>
          <w:bdr w:val="none" w:sz="0" w:space="0" w:color="auto" w:frame="1"/>
          <w:lang w:eastAsia="tr-TR"/>
          <w14:ligatures w14:val="none"/>
        </w:rPr>
        <w:t>Sonuç</w:t>
      </w:r>
    </w:p>
    <w:p w14:paraId="0042DDD4"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Anonim şirketlerde azınlık pay sahiplerinin korunması, Türk Ticaret Kanunu ve uygulama içtihatları ile güvence altına alınmıştır. Geleneksel olumlu-olumsuz hak ayrımı, kavramsal açıdan sınırlı bir açıklık sağlarken, söz ve çıkış hakları temelli yeni tasnif, azınlık haklarının işlevselliğini daha net bir şekilde ortaya koymaktadır. Bilgi alma, genel kurula katılım, özel denetçi talebi, fesih ve finansal tabloların ertelenmesi gibi haklar, azınlık pay sahiplerinin şirket yönetiminde adil bir konumda olmalarını ve yatırım risklerini azaltmalarını sağlamaktadır. Birleşme ve devralma süreçlerinde de azınlık haklarının korunması hem yasal düzenlemeler hem de sözleşmeye dayalı mekanizmalar aracılığıyla mümkün kılınmaktadır.</w:t>
      </w:r>
    </w:p>
    <w:p w14:paraId="2044AC97" w14:textId="77777777" w:rsidR="001840C5" w:rsidRPr="001840C5" w:rsidRDefault="001840C5" w:rsidP="001840C5">
      <w:pPr>
        <w:spacing w:after="480" w:line="240" w:lineRule="auto"/>
        <w:textAlignment w:val="baseline"/>
        <w:rPr>
          <w:rFonts w:ascii="Times New Roman" w:eastAsia="Times New Roman" w:hAnsi="Times New Roman" w:cs="Times New Roman"/>
          <w:kern w:val="0"/>
          <w:sz w:val="22"/>
          <w:szCs w:val="22"/>
          <w:lang w:eastAsia="tr-TR"/>
          <w14:ligatures w14:val="none"/>
        </w:rPr>
      </w:pPr>
      <w:r w:rsidRPr="001840C5">
        <w:rPr>
          <w:rFonts w:ascii="Times New Roman" w:eastAsia="Times New Roman" w:hAnsi="Times New Roman" w:cs="Times New Roman"/>
          <w:kern w:val="0"/>
          <w:sz w:val="22"/>
          <w:szCs w:val="22"/>
          <w:lang w:eastAsia="tr-TR"/>
          <w14:ligatures w14:val="none"/>
        </w:rPr>
        <w:t>Sonuç olarak, azınlık pay sahiplerinin haklarının etkin korunması, şirket yönetiminde şeffaflık, adil muamele ve güven ortamının tesis edilmesi açısından kritik öneme sahiptir.</w:t>
      </w:r>
    </w:p>
    <w:p w14:paraId="268ACEB7" w14:textId="77777777" w:rsidR="001840C5" w:rsidRPr="00DE5F78" w:rsidRDefault="001840C5" w:rsidP="00DE5F78">
      <w:pPr>
        <w:pStyle w:val="ListeParagraf"/>
        <w:tabs>
          <w:tab w:val="num" w:pos="567"/>
        </w:tabs>
        <w:spacing w:after="480" w:line="240" w:lineRule="auto"/>
        <w:ind w:left="0"/>
        <w:textAlignment w:val="baseline"/>
        <w:rPr>
          <w:rFonts w:ascii="Times New Roman" w:hAnsi="Times New Roman" w:cs="Times New Roman"/>
          <w:b/>
          <w:bCs/>
          <w:sz w:val="22"/>
          <w:szCs w:val="22"/>
        </w:rPr>
      </w:pPr>
    </w:p>
    <w:sectPr w:rsidR="001840C5" w:rsidRPr="00DE5F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4B5"/>
    <w:multiLevelType w:val="hybridMultilevel"/>
    <w:tmpl w:val="4E18424C"/>
    <w:lvl w:ilvl="0" w:tplc="A1187F4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5A11E8"/>
    <w:multiLevelType w:val="multilevel"/>
    <w:tmpl w:val="4CEA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85AAD"/>
    <w:multiLevelType w:val="multilevel"/>
    <w:tmpl w:val="B0B8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6368F"/>
    <w:multiLevelType w:val="multilevel"/>
    <w:tmpl w:val="8E3AB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C130AB"/>
    <w:multiLevelType w:val="multilevel"/>
    <w:tmpl w:val="7440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24878"/>
    <w:multiLevelType w:val="multilevel"/>
    <w:tmpl w:val="AD76FB24"/>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262E0"/>
    <w:multiLevelType w:val="multilevel"/>
    <w:tmpl w:val="F1500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EE295F"/>
    <w:multiLevelType w:val="multilevel"/>
    <w:tmpl w:val="969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7209FE"/>
    <w:multiLevelType w:val="multilevel"/>
    <w:tmpl w:val="AD76FB24"/>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A804C5"/>
    <w:multiLevelType w:val="multilevel"/>
    <w:tmpl w:val="4CB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D20A34"/>
    <w:multiLevelType w:val="multilevel"/>
    <w:tmpl w:val="5CA8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6E4A84"/>
    <w:multiLevelType w:val="multilevel"/>
    <w:tmpl w:val="B7DCF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804D78"/>
    <w:multiLevelType w:val="multilevel"/>
    <w:tmpl w:val="5E8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7E2B8D"/>
    <w:multiLevelType w:val="multilevel"/>
    <w:tmpl w:val="1CCAB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217581"/>
    <w:multiLevelType w:val="multilevel"/>
    <w:tmpl w:val="6264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53CFC"/>
    <w:multiLevelType w:val="multilevel"/>
    <w:tmpl w:val="5E240D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5C368F"/>
    <w:multiLevelType w:val="hybridMultilevel"/>
    <w:tmpl w:val="5B9E41CE"/>
    <w:lvl w:ilvl="0" w:tplc="C1C2D1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86383021">
    <w:abstractNumId w:val="8"/>
  </w:num>
  <w:num w:numId="2" w16cid:durableId="1358770719">
    <w:abstractNumId w:val="10"/>
  </w:num>
  <w:num w:numId="3" w16cid:durableId="2036808751">
    <w:abstractNumId w:val="11"/>
  </w:num>
  <w:num w:numId="4" w16cid:durableId="39013175">
    <w:abstractNumId w:val="5"/>
  </w:num>
  <w:num w:numId="5" w16cid:durableId="1461605948">
    <w:abstractNumId w:val="15"/>
  </w:num>
  <w:num w:numId="6" w16cid:durableId="2055303157">
    <w:abstractNumId w:val="2"/>
  </w:num>
  <w:num w:numId="7" w16cid:durableId="1430151893">
    <w:abstractNumId w:val="4"/>
  </w:num>
  <w:num w:numId="8" w16cid:durableId="1818450218">
    <w:abstractNumId w:val="12"/>
  </w:num>
  <w:num w:numId="9" w16cid:durableId="757873237">
    <w:abstractNumId w:val="13"/>
  </w:num>
  <w:num w:numId="10" w16cid:durableId="1334601829">
    <w:abstractNumId w:val="1"/>
  </w:num>
  <w:num w:numId="11" w16cid:durableId="619917900">
    <w:abstractNumId w:val="7"/>
  </w:num>
  <w:num w:numId="12" w16cid:durableId="322783896">
    <w:abstractNumId w:val="14"/>
  </w:num>
  <w:num w:numId="13" w16cid:durableId="1586836699">
    <w:abstractNumId w:val="16"/>
  </w:num>
  <w:num w:numId="14" w16cid:durableId="1798453723">
    <w:abstractNumId w:val="0"/>
  </w:num>
  <w:num w:numId="15" w16cid:durableId="1451322726">
    <w:abstractNumId w:val="9"/>
  </w:num>
  <w:num w:numId="16" w16cid:durableId="61107044">
    <w:abstractNumId w:val="6"/>
  </w:num>
  <w:num w:numId="17" w16cid:durableId="15884164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FEE"/>
    <w:rsid w:val="00093FE6"/>
    <w:rsid w:val="000F67AD"/>
    <w:rsid w:val="00130175"/>
    <w:rsid w:val="00136AB8"/>
    <w:rsid w:val="00166922"/>
    <w:rsid w:val="00173EA3"/>
    <w:rsid w:val="001840C5"/>
    <w:rsid w:val="001848A6"/>
    <w:rsid w:val="00223E36"/>
    <w:rsid w:val="003A71E8"/>
    <w:rsid w:val="003F00A8"/>
    <w:rsid w:val="00415182"/>
    <w:rsid w:val="00435DD4"/>
    <w:rsid w:val="004D18DB"/>
    <w:rsid w:val="0057129B"/>
    <w:rsid w:val="005B700A"/>
    <w:rsid w:val="005D0990"/>
    <w:rsid w:val="006716D2"/>
    <w:rsid w:val="00692327"/>
    <w:rsid w:val="006A6EDB"/>
    <w:rsid w:val="006B62B8"/>
    <w:rsid w:val="006C2968"/>
    <w:rsid w:val="00703721"/>
    <w:rsid w:val="00730688"/>
    <w:rsid w:val="00771D9F"/>
    <w:rsid w:val="00776579"/>
    <w:rsid w:val="007F7771"/>
    <w:rsid w:val="008A2C99"/>
    <w:rsid w:val="008D1C67"/>
    <w:rsid w:val="008F5A4F"/>
    <w:rsid w:val="00921A97"/>
    <w:rsid w:val="009C3E27"/>
    <w:rsid w:val="00AA1D5E"/>
    <w:rsid w:val="00AE60C1"/>
    <w:rsid w:val="00B07941"/>
    <w:rsid w:val="00C21DB9"/>
    <w:rsid w:val="00C66FEE"/>
    <w:rsid w:val="00DA1072"/>
    <w:rsid w:val="00DE5F78"/>
    <w:rsid w:val="00E12008"/>
    <w:rsid w:val="00EA5FB2"/>
    <w:rsid w:val="00EC66B6"/>
    <w:rsid w:val="00FE25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020D"/>
  <w15:chartTrackingRefBased/>
  <w15:docId w15:val="{6D6BB0BE-0DF9-411B-839B-DE758881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6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66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66FE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66FE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66FE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66FE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6FE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6FE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6FE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6FE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66FE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66FE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66FE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66FE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66FE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6FE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6FE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6FEE"/>
    <w:rPr>
      <w:rFonts w:eastAsiaTheme="majorEastAsia" w:cstheme="majorBidi"/>
      <w:color w:val="272727" w:themeColor="text1" w:themeTint="D8"/>
    </w:rPr>
  </w:style>
  <w:style w:type="paragraph" w:styleId="KonuBal">
    <w:name w:val="Title"/>
    <w:basedOn w:val="Normal"/>
    <w:next w:val="Normal"/>
    <w:link w:val="KonuBalChar"/>
    <w:uiPriority w:val="10"/>
    <w:qFormat/>
    <w:rsid w:val="00C66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6FE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6FE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6FE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6FE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6FEE"/>
    <w:rPr>
      <w:i/>
      <w:iCs/>
      <w:color w:val="404040" w:themeColor="text1" w:themeTint="BF"/>
    </w:rPr>
  </w:style>
  <w:style w:type="paragraph" w:styleId="ListeParagraf">
    <w:name w:val="List Paragraph"/>
    <w:basedOn w:val="Normal"/>
    <w:uiPriority w:val="34"/>
    <w:qFormat/>
    <w:rsid w:val="00C66FEE"/>
    <w:pPr>
      <w:ind w:left="720"/>
      <w:contextualSpacing/>
    </w:pPr>
  </w:style>
  <w:style w:type="character" w:styleId="GlVurgulama">
    <w:name w:val="Intense Emphasis"/>
    <w:basedOn w:val="VarsaylanParagrafYazTipi"/>
    <w:uiPriority w:val="21"/>
    <w:qFormat/>
    <w:rsid w:val="00C66FEE"/>
    <w:rPr>
      <w:i/>
      <w:iCs/>
      <w:color w:val="0F4761" w:themeColor="accent1" w:themeShade="BF"/>
    </w:rPr>
  </w:style>
  <w:style w:type="paragraph" w:styleId="GlAlnt">
    <w:name w:val="Intense Quote"/>
    <w:basedOn w:val="Normal"/>
    <w:next w:val="Normal"/>
    <w:link w:val="GlAlntChar"/>
    <w:uiPriority w:val="30"/>
    <w:qFormat/>
    <w:rsid w:val="00C66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66FEE"/>
    <w:rPr>
      <w:i/>
      <w:iCs/>
      <w:color w:val="0F4761" w:themeColor="accent1" w:themeShade="BF"/>
    </w:rPr>
  </w:style>
  <w:style w:type="character" w:styleId="GlBavuru">
    <w:name w:val="Intense Reference"/>
    <w:basedOn w:val="VarsaylanParagrafYazTipi"/>
    <w:uiPriority w:val="32"/>
    <w:qFormat/>
    <w:rsid w:val="00C66FEE"/>
    <w:rPr>
      <w:b/>
      <w:bCs/>
      <w:smallCaps/>
      <w:color w:val="0F4761" w:themeColor="accent1" w:themeShade="BF"/>
      <w:spacing w:val="5"/>
    </w:rPr>
  </w:style>
  <w:style w:type="paragraph" w:customStyle="1" w:styleId="ember-view">
    <w:name w:val="ember-view"/>
    <w:basedOn w:val="Normal"/>
    <w:rsid w:val="009C3E27"/>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9C3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6925272E-A5C1-49DE-BC80-61732118B922}">
  <ds:schemaRefs>
    <ds:schemaRef ds:uri="http://schemas.openxmlformats.org/officeDocument/2006/bibliography"/>
  </ds:schemaRefs>
</ds:datastoreItem>
</file>

<file path=customXml/itemProps2.xml><?xml version="1.0" encoding="utf-8"?>
<ds:datastoreItem xmlns:ds="http://schemas.openxmlformats.org/officeDocument/2006/customXml" ds:itemID="{1A5854C6-0CA3-447C-81DE-93EF897F933A}"/>
</file>

<file path=customXml/itemProps3.xml><?xml version="1.0" encoding="utf-8"?>
<ds:datastoreItem xmlns:ds="http://schemas.openxmlformats.org/officeDocument/2006/customXml" ds:itemID="{1222CD9B-BED0-4854-B3C8-EBD0784DCB0F}"/>
</file>

<file path=customXml/itemProps4.xml><?xml version="1.0" encoding="utf-8"?>
<ds:datastoreItem xmlns:ds="http://schemas.openxmlformats.org/officeDocument/2006/customXml" ds:itemID="{446F244C-533A-4452-B3C4-DB516A1BEB6F}"/>
</file>

<file path=docProps/app.xml><?xml version="1.0" encoding="utf-8"?>
<Properties xmlns="http://schemas.openxmlformats.org/officeDocument/2006/extended-properties" xmlns:vt="http://schemas.openxmlformats.org/officeDocument/2006/docPropsVTypes">
  <Template>Normal</Template>
  <TotalTime>29</TotalTime>
  <Pages>23</Pages>
  <Words>8370</Words>
  <Characters>59682</Characters>
  <Application>Microsoft Office Word</Application>
  <DocSecurity>0</DocSecurity>
  <Lines>918</Lines>
  <Paragraphs>338</Paragraphs>
  <ScaleCrop>false</ScaleCrop>
  <Company/>
  <LinksUpToDate>false</LinksUpToDate>
  <CharactersWithSpaces>67714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40</cp:revision>
  <dcterms:created xsi:type="dcterms:W3CDTF">2026-04-17T14:29:00Z</dcterms:created>
  <dcterms:modified xsi:type="dcterms:W3CDTF">2026-04-17T17:15:00Z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