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707205C" w:rsidP="30539C86" w:rsidRDefault="4707205C" w14:paraId="72F3D483" w14:textId="2AC46B70">
      <w:pPr>
        <w:spacing w:before="240" w:beforeAutospacing="off" w:after="240" w:afterAutospacing="off"/>
        <w:jc w:val="both"/>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pP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Ege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Çakırca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tarafından</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 xml:space="preserve"> </w:t>
      </w:r>
      <w:r w:rsidRPr="30539C86" w:rsidR="27775491">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 xml:space="preserve">Kasım </w:t>
      </w:r>
      <w:r w:rsidRPr="30539C86" w:rsidR="27775491">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2025</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 xml:space="preserve"> </w:t>
      </w:r>
      <w:r w:rsidRPr="30539C86" w:rsidR="0F8281A4">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Ocak</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 xml:space="preserve"> 2026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tarihleri</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arasında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T</w:t>
      </w:r>
      <w:r w:rsidRPr="30539C86" w:rsidR="698EC431">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i</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cari Uyuşmazlıklar ve</w:t>
      </w:r>
      <w:r w:rsidRPr="30539C86" w:rsidR="51F97D9E">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Alternatif Çözüm</w:t>
      </w:r>
      <w:r w:rsidRPr="30539C86" w:rsidR="26E1C291">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tr-TR"/>
        </w:rPr>
        <w:t>Yolları”</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konusuna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ilişkin</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olarak</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kaleme</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alınan</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işbu</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yazılar</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yalnızca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genel</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bilgilendirme</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ama</w:t>
      </w:r>
      <w:r w:rsidRPr="30539C86" w:rsidR="5D837183">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w:t>
      </w:r>
      <w:r w:rsidRPr="30539C86" w:rsidR="48078085">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cı</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taşımakta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olup</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herhangi</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bir</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şekilde</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hukuki</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görüş</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mütalaa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veya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danışmanlık</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hizmeti</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teşkil</w:t>
      </w:r>
      <w:r w:rsidRPr="30539C86" w:rsidR="5BB96240">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etmemektedir</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w:t>
      </w:r>
    </w:p>
    <w:p w:rsidR="4707205C" w:rsidP="30539C86" w:rsidRDefault="4707205C" w14:paraId="2BC270CD" w14:textId="6749256A">
      <w:pPr>
        <w:spacing w:before="240" w:beforeAutospacing="off" w:after="240" w:afterAutospacing="off"/>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u w:val="none"/>
          <w:lang w:val="tr-TR"/>
        </w:rPr>
      </w:pP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Bu i</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çerikler,</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b</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elirli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b</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ir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s</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omut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o</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laya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u</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ygulanmak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ü</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zere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h</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azırlanmadığından,</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 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vukat-müvekkil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i</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lişkisinin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k</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urulmasına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da y</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 xml:space="preserve">ol </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a</w:t>
      </w: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çmaz.</w:t>
      </w:r>
    </w:p>
    <w:p w:rsidR="4707205C" w:rsidP="30539C86" w:rsidRDefault="4707205C" w14:paraId="6C6639B7" w14:textId="63CCC97E">
      <w:pPr>
        <w:spacing w:before="240" w:beforeAutospacing="off" w:after="240" w:afterAutospacing="off"/>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u w:val="none"/>
          <w:lang w:val="tr-TR"/>
        </w:rPr>
      </w:pP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Metinlerde yer alan bilgi ve değerlendirmelerin güncelliği, doğruluğu veya belirli bir amaca uygunluğu konusunda açık ya da zımni herhangi bir taahhüt veya garanti verilmemektedir.</w:t>
      </w:r>
    </w:p>
    <w:p w:rsidR="4707205C" w:rsidP="30539C86" w:rsidRDefault="4707205C" w14:paraId="4B6537E9" w14:textId="0917ED7A">
      <w:pPr>
        <w:spacing w:before="240" w:beforeAutospacing="off" w:after="240" w:afterAutospacing="off"/>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u w:val="none"/>
          <w:lang w:val="tr-TR"/>
        </w:rPr>
      </w:pP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w:t>
      </w:r>
    </w:p>
    <w:p w:rsidR="4707205C" w:rsidP="30539C86" w:rsidRDefault="4707205C" w14:paraId="3815986D" w14:textId="514013E7">
      <w:pPr>
        <w:spacing w:before="240" w:beforeAutospacing="off" w:after="240" w:afterAutospacing="off"/>
        <w:jc w:val="both"/>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2"/>
          <w:szCs w:val="22"/>
          <w:u w:val="none"/>
          <w:lang w:val="tr-TR"/>
        </w:rPr>
      </w:pPr>
      <w:r w:rsidRPr="30539C86" w:rsidR="170F2298">
        <w:rPr>
          <w:rFonts w:ascii="Arial" w:hAnsi="Arial" w:eastAsia="Arial" w:cs="Arial"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w:rsidR="4707205C" w:rsidP="5F32F219" w:rsidRDefault="4707205C" w14:paraId="7BABDD13" w14:textId="451A3E3C">
      <w:pPr>
        <w:spacing w:before="240" w:beforeAutospacing="off" w:after="240" w:afterAutospacing="off" w:line="276" w:lineRule="auto"/>
        <w:jc w:val="both"/>
        <w:rPr>
          <w:rFonts w:ascii="Arial" w:hAnsi="Arial" w:eastAsia="Arial" w:cs="Arial"/>
          <w:b w:val="0"/>
          <w:bCs w:val="0"/>
          <w:i w:val="0"/>
          <w:iCs w:val="0"/>
          <w:caps w:val="0"/>
          <w:smallCaps w:val="0"/>
          <w:noProof w:val="0"/>
          <w:color w:val="000000" w:themeColor="text1" w:themeTint="FF" w:themeShade="FF"/>
          <w:sz w:val="22"/>
          <w:szCs w:val="22"/>
          <w:lang w:val="tr-TR"/>
        </w:rPr>
      </w:pPr>
    </w:p>
    <w:p w:rsidR="4707205C" w:rsidP="5F32F219" w:rsidRDefault="4707205C" w14:paraId="7EFC4556" w14:textId="75382825">
      <w:pPr>
        <w:pStyle w:val="Normal"/>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p>
    <w:p w:rsidR="4707205C" w:rsidP="5F32F219" w:rsidRDefault="4707205C" w14:paraId="25CECB89" w14:textId="3D8F0A75">
      <w:pPr>
        <w:pStyle w:val="Normal"/>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5F32F219" w:rsidR="4002633E">
        <w:rPr>
          <w:rFonts w:ascii="Arial" w:hAnsi="Arial" w:eastAsia="Arial" w:cs="Arial" w:asciiTheme="minorAscii" w:hAnsiTheme="minorAscii" w:eastAsiaTheme="minorAscii" w:cstheme="minorAscii"/>
          <w:b w:val="1"/>
          <w:bCs w:val="1"/>
          <w:noProof w:val="0"/>
          <w:color w:val="auto"/>
          <w:sz w:val="22"/>
          <w:szCs w:val="22"/>
          <w:lang w:val="tr-TR"/>
        </w:rPr>
        <w:t>TİCARİ UYUŞMAZLIKLAR VE ALTERNATİF ÇÖZÜM YOLLARI</w:t>
      </w:r>
    </w:p>
    <w:p w:rsidR="4707205C" w:rsidP="29148734" w:rsidRDefault="4707205C" w14:paraId="2F7E5C66" w14:textId="590BE099">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4707205C">
        <w:rPr>
          <w:rFonts w:ascii="Arial" w:hAnsi="Arial" w:eastAsia="Arial" w:cs="Arial" w:asciiTheme="minorAscii" w:hAnsiTheme="minorAscii" w:eastAsiaTheme="minorAscii" w:cstheme="minorAscii"/>
          <w:b w:val="1"/>
          <w:bCs w:val="1"/>
          <w:noProof w:val="0"/>
          <w:color w:val="auto"/>
          <w:sz w:val="22"/>
          <w:szCs w:val="22"/>
          <w:lang w:val="tr-TR"/>
        </w:rPr>
        <w:t>TAHKİM NEDİR? TİCARİ UYUŞMAZLIKLARDA TAHKİM SÜRECİ</w:t>
      </w:r>
    </w:p>
    <w:p w:rsidR="4707205C" w:rsidP="29148734" w:rsidRDefault="4707205C" w14:paraId="28004533" w14:textId="42342CB1">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Ticari uyuşmazlıkların çözümünde hızlı, uzmanlaşmış ve tarafsız bir yargılama yolu olarak tahkim, günümüzde hem ulusal hem de uluslararası düzeyde giderek daha fazla tercih edilen bir yöntem hâline gelmiştir. Tahkim, tarafların serbest iradeleriyle seçtikleri hakem veya hakem heyeti önünde uyuşmazlığın çözülmesini ifade eder.</w:t>
      </w:r>
    </w:p>
    <w:p w:rsidR="4707205C" w:rsidP="29148734" w:rsidRDefault="4707205C" w14:paraId="0204FE99" w14:textId="26345CED">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Türk hukukunda tahkim, yabancılık unsuru içermeyen ve tahkim yerinin Türkiye olarak belirlendiği uyuşmazlıklar bakımından 6100 sayılı Hukuk Muhakemeleri Kanunu’nun (“HMK”) 407-444. maddeleriyle; yabancılık unsuru içeren uyuşmazlıklar bakımından ise 4686 sayılı Milletlerarası Tahkim Kanunu ile düzenlenmektedir.</w:t>
      </w:r>
    </w:p>
    <w:p w:rsidR="4707205C" w:rsidP="29148734" w:rsidRDefault="4707205C" w14:paraId="40C72E3F" w14:textId="151E7533">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4707205C">
        <w:rPr>
          <w:rFonts w:ascii="Arial" w:hAnsi="Arial" w:eastAsia="Arial" w:cs="Arial" w:asciiTheme="minorAscii" w:hAnsiTheme="minorAscii" w:eastAsiaTheme="minorAscii" w:cstheme="minorAscii"/>
          <w:b w:val="1"/>
          <w:bCs w:val="1"/>
          <w:noProof w:val="0"/>
          <w:color w:val="auto"/>
          <w:sz w:val="22"/>
          <w:szCs w:val="22"/>
          <w:lang w:val="tr-TR"/>
        </w:rPr>
        <w:t>Yabancılık Unsuru</w:t>
      </w:r>
    </w:p>
    <w:p w:rsidR="4707205C" w:rsidP="29148734" w:rsidRDefault="4707205C" w14:paraId="73D8F45B" w14:textId="74EAECC9">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4686 sayılı Milletlerarası Tahkim Kanunu’nun 2. maddesi; taraflardan birinin yabancı olması, uyuşmazlığın yabancı bir ülkede doğması veya yatırım sözleşmelerinden kaynaklanması gibi hâllerde uyuşmazlığın milletlerarası nitelik taşıdığını ortaya koymaktadır. Bu hâlde ilgili tahkim ilişkisi, 4686 sayılı Kanun kapsamında değerlendirilecektir.</w:t>
      </w:r>
    </w:p>
    <w:p w:rsidR="4707205C" w:rsidP="29148734" w:rsidRDefault="4707205C" w14:paraId="505C7D61" w14:textId="63886D89">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Yabancılık unsuru taşımayan ve tahkim yerinin Türkiye olarak belirlendiği hâller bakımından ise tahkim anlaşması, HMK m. 412’de tarafların mevcut veya doğabilecek uyuşmazlıklarını tahkim yoluyla çözmeyi kararlaştırmaları olarak tanımlanmış ve geçerliliği yazılı şekle bağlanmıştır.</w:t>
      </w:r>
    </w:p>
    <w:p w:rsidR="4707205C" w:rsidP="29148734" w:rsidRDefault="4707205C" w14:paraId="4CB0CCF7" w14:textId="30F573EF">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4707205C">
        <w:rPr>
          <w:rFonts w:ascii="Arial" w:hAnsi="Arial" w:eastAsia="Arial" w:cs="Arial" w:asciiTheme="minorAscii" w:hAnsiTheme="minorAscii" w:eastAsiaTheme="minorAscii" w:cstheme="minorAscii"/>
          <w:b w:val="1"/>
          <w:bCs w:val="1"/>
          <w:noProof w:val="0"/>
          <w:color w:val="auto"/>
          <w:sz w:val="22"/>
          <w:szCs w:val="22"/>
          <w:lang w:val="tr-TR"/>
        </w:rPr>
        <w:t>Tahkim Sürecinin İşleyişi</w:t>
      </w:r>
    </w:p>
    <w:p w:rsidR="4707205C" w:rsidP="29148734" w:rsidRDefault="4707205C" w14:paraId="3E9C1EAB" w14:textId="4EFE5F26">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Tahkim süreci, tarafların tahkim anlaşması ile başlar. Yazılı şekilde yapılması zorunlu olan bu anlaşma, uyuşmazlığın hangi hakem veya hakem heyeti önünde çözüleceğini belirler. Taraflar hakem sayısını, seçilecek kişilerin niteliklerini ve yargılamanın temel usulünü kararlaştırabilir.</w:t>
      </w:r>
    </w:p>
    <w:p w:rsidR="4707205C" w:rsidP="29148734" w:rsidRDefault="4707205C" w14:paraId="17A5160E" w14:textId="2AF03682">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Yargılama sırasında tarafların eşitliği ve hukuki dinlenilme hakkı korunur. Delillerin sunulması, tanıkların dinlenmesi, bilirkişi raporları veya keşif yapılması hakemlerin yönetiminde yürütülür. Taraflardan biri sürece katılmasa bile hakem heyeti mevcut deliller üzerinden yargılamaya devam edebilir.</w:t>
      </w:r>
    </w:p>
    <w:p w:rsidR="4707205C" w:rsidP="29148734" w:rsidRDefault="4707205C" w14:paraId="45836117" w14:textId="4AEDC9D0">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Son aşamada hakem kararı gerekçeli şekilde yazılır ve taraflara tebliğ edilir. Bu karar ilam niteliğindedir. Hakem kararlarına karşı yalnızca HMK’da sayılı sebepler çerçevesinde iptal davası açılabilir. Böylece hem hız hem de kesinlik sağlanır. Tarafların üzerinde anlaştıkları sulh de hakem kararı şeklinde tespit edilerek icra kabiliyeti kazanır.</w:t>
      </w:r>
    </w:p>
    <w:p w:rsidR="4707205C" w:rsidP="29148734" w:rsidRDefault="4707205C" w14:paraId="28C0BED6" w14:textId="65A472E5">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4707205C">
        <w:rPr>
          <w:rFonts w:ascii="Arial" w:hAnsi="Arial" w:eastAsia="Arial" w:cs="Arial" w:asciiTheme="minorAscii" w:hAnsiTheme="minorAscii" w:eastAsiaTheme="minorAscii" w:cstheme="minorAscii"/>
          <w:b w:val="1"/>
          <w:bCs w:val="1"/>
          <w:noProof w:val="0"/>
          <w:color w:val="auto"/>
          <w:sz w:val="22"/>
          <w:szCs w:val="22"/>
          <w:lang w:val="tr-TR"/>
        </w:rPr>
        <w:t>Kısa Değerlendirme</w:t>
      </w:r>
    </w:p>
    <w:p w:rsidR="4707205C" w:rsidP="29148734" w:rsidRDefault="4707205C" w14:paraId="7B2EADDD" w14:textId="0440F195">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Tahkim, ticari uyuşmazlıkların çözümünde esneklik, uzmanlık imkânı ve hız avantajını bir araya getirerek taraflara güvenilir bir alternatif sunar. Devlet yargısına göre daha kısa sürede sonuç alınabilmesi, tahkim kararlarının kesinliği ve milletlerarası alanda tanınabilirliği bu yöntemi özellikle yatırımcılar açısından cazip hâle getirmektedir.</w:t>
      </w:r>
    </w:p>
    <w:p w:rsidR="4707205C" w:rsidP="29148734" w:rsidRDefault="4707205C" w14:paraId="3CCD13B2" w14:textId="03E209B4">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Mevzuatın tanıdığı geniş irade serbestisi, taraflara sürecin işleyişini kendi ihtiyaçlarına göre şekillendirme olanağı verirken; iptal davası gibi sınırlı denetim mekanizmaları da yargısal güvencenin tamamen ortadan kalkmasını engeller.</w:t>
      </w:r>
    </w:p>
    <w:p w:rsidR="4707205C" w:rsidP="29148734" w:rsidRDefault="4707205C" w14:paraId="50E51DE4" w14:textId="19B5FC6E">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4707205C">
        <w:rPr>
          <w:rFonts w:ascii="Arial" w:hAnsi="Arial" w:eastAsia="Arial" w:cs="Arial" w:asciiTheme="minorAscii" w:hAnsiTheme="minorAscii" w:eastAsiaTheme="minorAscii" w:cstheme="minorAscii"/>
          <w:noProof w:val="0"/>
          <w:color w:val="auto"/>
          <w:sz w:val="22"/>
          <w:szCs w:val="22"/>
          <w:lang w:val="tr-TR"/>
        </w:rPr>
        <w:t>Özetle ticari uyuşmazlıkların öngörülebilir, güvenli ve etkin bir şekilde çözümlenmesi için tahkim, hem ulusal hukukta hem de uluslararası alanda güçlü bir tercih olarak varlığını sürdürmektedir.</w:t>
      </w:r>
    </w:p>
    <w:p w:rsidR="29148734" w:rsidP="29148734" w:rsidRDefault="29148734" w14:paraId="7A896BB0" w14:textId="777FC7B7">
      <w:pPr>
        <w:shd w:val="clear" w:color="auto" w:fill="FFFFFF" w:themeFill="background1"/>
        <w:spacing w:before="0" w:beforeAutospacing="off" w:after="480" w:afterAutospacing="off"/>
        <w:jc w:val="both"/>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pPr>
    </w:p>
    <w:p xmlns:wp14="http://schemas.microsoft.com/office/word/2010/wordml" w:rsidP="29148734" wp14:paraId="611E619B" wp14:textId="47F52A4D">
      <w:pPr>
        <w:jc w:val="both"/>
        <w:rPr>
          <w:rFonts w:ascii="Arial" w:hAnsi="Arial" w:eastAsia="Arial" w:cs="Arial" w:asciiTheme="minorAscii" w:hAnsiTheme="minorAscii" w:eastAsiaTheme="minorAscii" w:cstheme="minorAscii"/>
          <w:color w:val="auto"/>
          <w:sz w:val="22"/>
          <w:szCs w:val="22"/>
        </w:rPr>
      </w:pPr>
    </w:p>
    <w:p xmlns:wp14="http://schemas.microsoft.com/office/word/2010/wordml" w:rsidP="29148734" wp14:paraId="184B64EF" wp14:textId="7CB01937">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40685829" wp14:textId="55442E7F">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1FE2D82F" wp14:textId="2FD1E2D1">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4EDF8A73" wp14:textId="44E74742">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7837453A" wp14:textId="30CD586A">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552B69D3" wp14:textId="6CDAB110">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2434DE4A" wp14:textId="1C1F354D">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70FA1630" wp14:textId="58D178E6">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6F89D8CE" wp14:textId="14BF5CFB">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565EFAEC" wp14:textId="4785DB97">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33F227DA" wp14:textId="73240D60">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477C4AE7" wp14:textId="551C00C3">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p>
    <w:p xmlns:wp14="http://schemas.microsoft.com/office/word/2010/wordml" w:rsidP="29148734" wp14:paraId="6381A6C4" wp14:textId="73C554BF">
      <w:pPr>
        <w:pStyle w:val="ListParagraph"/>
        <w:jc w:val="both"/>
        <w:rPr>
          <w:rFonts w:ascii="Arial" w:hAnsi="Arial" w:eastAsia="Arial" w:cs="Arial" w:asciiTheme="minorAscii" w:hAnsiTheme="minorAscii" w:eastAsiaTheme="minorAscii" w:cstheme="minorAscii"/>
          <w:color w:val="auto"/>
          <w:sz w:val="22"/>
          <w:szCs w:val="22"/>
        </w:rPr>
      </w:pPr>
    </w:p>
    <w:p xmlns:wp14="http://schemas.microsoft.com/office/word/2010/wordml" w:rsidP="29148734" wp14:paraId="16B99730" wp14:textId="691FD3C7">
      <w:pPr>
        <w:pStyle w:val="ListParagraph"/>
        <w:jc w:val="both"/>
        <w:rPr>
          <w:rFonts w:ascii="Arial" w:hAnsi="Arial" w:eastAsia="Arial" w:cs="Arial" w:asciiTheme="minorAscii" w:hAnsiTheme="minorAscii" w:eastAsiaTheme="minorAscii" w:cstheme="minorAscii"/>
          <w:color w:val="auto"/>
          <w:sz w:val="22"/>
          <w:szCs w:val="22"/>
        </w:rPr>
      </w:pPr>
    </w:p>
    <w:p xmlns:wp14="http://schemas.microsoft.com/office/word/2010/wordml" w:rsidP="29148734" wp14:paraId="713B17BA" wp14:textId="3FE11494">
      <w:pPr>
        <w:jc w:val="both"/>
        <w:rPr>
          <w:rFonts w:ascii="Arial" w:hAnsi="Arial" w:eastAsia="Arial" w:cs="Arial" w:asciiTheme="minorAscii" w:hAnsiTheme="minorAscii" w:eastAsiaTheme="minorAscii" w:cstheme="minorAscii"/>
          <w:color w:val="auto"/>
          <w:sz w:val="22"/>
          <w:szCs w:val="22"/>
        </w:rPr>
      </w:pPr>
      <w:r w:rsidRPr="29148734">
        <w:rPr>
          <w:rFonts w:ascii="Arial" w:hAnsi="Arial" w:eastAsia="Arial" w:cs="Arial" w:asciiTheme="minorAscii" w:hAnsiTheme="minorAscii" w:eastAsiaTheme="minorAscii" w:cstheme="minorAscii"/>
          <w:color w:val="auto"/>
          <w:sz w:val="22"/>
          <w:szCs w:val="22"/>
        </w:rPr>
        <w:br w:type="page"/>
      </w:r>
    </w:p>
    <w:p xmlns:wp14="http://schemas.microsoft.com/office/word/2010/wordml" w:rsidP="29148734" wp14:paraId="41E76AAC" wp14:textId="6ECEE7F2">
      <w:pPr>
        <w:pStyle w:val="ListParagraph"/>
        <w:jc w:val="both"/>
        <w:rPr>
          <w:rFonts w:ascii="Arial" w:hAnsi="Arial" w:eastAsia="Arial" w:cs="Arial" w:asciiTheme="minorAscii" w:hAnsiTheme="minorAscii" w:eastAsiaTheme="minorAscii" w:cstheme="minorAscii"/>
          <w:color w:val="auto"/>
          <w:sz w:val="22"/>
          <w:szCs w:val="22"/>
        </w:rPr>
      </w:pPr>
    </w:p>
    <w:p w:rsidR="5F57FB5B" w:rsidP="29148734" w:rsidRDefault="5F57FB5B" w14:paraId="036BAF6D" w14:textId="3596BC6A">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r w:rsidRPr="29148734" w:rsidR="3762CC8D">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OCAK 2026</w:t>
      </w:r>
    </w:p>
    <w:p w:rsidR="5D43163C" w:rsidP="29148734" w:rsidRDefault="5D43163C" w14:paraId="5D152CAF" w14:textId="3319BD22">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5D43163C">
        <w:rPr>
          <w:rFonts w:ascii="Arial" w:hAnsi="Arial" w:eastAsia="Arial" w:cs="Arial" w:asciiTheme="minorAscii" w:hAnsiTheme="minorAscii" w:eastAsiaTheme="minorAscii" w:cstheme="minorAscii"/>
          <w:b w:val="1"/>
          <w:bCs w:val="1"/>
          <w:noProof w:val="0"/>
          <w:color w:val="auto"/>
          <w:sz w:val="22"/>
          <w:szCs w:val="22"/>
          <w:lang w:val="tr-TR"/>
        </w:rPr>
        <w:t>İŞ DÜNYASINDA HUKUK SERİSİ #7 – TİCARİ UYUŞMAZLIKLARDA ETKİLİ ÇÖZÜM YOLLARI</w:t>
      </w:r>
    </w:p>
    <w:p w:rsidR="5D43163C" w:rsidP="29148734" w:rsidRDefault="5D43163C" w14:paraId="4DBED0FC" w14:textId="604A1167">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Ticari uyuşmazlıklar, çoğu zaman sözleşme ilişkilerinin sona ermesinden değil, sözleşmelerin uygulanma biçiminden kaynaklanmaktadır. Tarafların aynı metni farklı şekilde yorumlaması, edimlerin zamanında ve gereği gibi ifa edilmemesi veya ticari beklentilerin süreç içinde değişmesi, uyuşmazlıkların temelini oluşturmaktadır. Bu tür ihtilaflarda esas mesele, uyuşmazlığın varlığı değil; hangi yöntemle ele alındığı ve bu yöntemin hukuki sonuçlarıdır.</w:t>
      </w:r>
    </w:p>
    <w:p w:rsidR="5D43163C" w:rsidP="29148734" w:rsidRDefault="5D43163C" w14:paraId="02DF6083" w14:textId="6AE69F8F">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5D43163C">
        <w:rPr>
          <w:rFonts w:ascii="Arial" w:hAnsi="Arial" w:eastAsia="Arial" w:cs="Arial" w:asciiTheme="minorAscii" w:hAnsiTheme="minorAscii" w:eastAsiaTheme="minorAscii" w:cstheme="minorAscii"/>
          <w:b w:val="1"/>
          <w:bCs w:val="1"/>
          <w:noProof w:val="0"/>
          <w:color w:val="auto"/>
          <w:sz w:val="22"/>
          <w:szCs w:val="22"/>
          <w:lang w:val="tr-TR"/>
        </w:rPr>
        <w:t>Uyuşmazlığın Hukuki Çerçevesinin Netleştirilmesi</w:t>
      </w:r>
    </w:p>
    <w:p w:rsidR="5D43163C" w:rsidP="29148734" w:rsidRDefault="5D43163C" w14:paraId="18E1E5A2" w14:textId="75DD52FF">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Bir ticari uyuşmazlıkta atılacak ilk adım, ihtilafın hangi hukuki zeminde şekillendiğinin tespit edilmesidir. Sözleşmeden kaynaklanan bir yorum farkı ile temerrüt, ayıp veya haksız fiil iddiası aynı çözüm yöntemine tabi tutulamaz. Uyuşmazlığın dayandığı hukuki ilişki netleştirilmeden başlatılan süreçler, tarafların pozisyonlarını zayıflatabilmektedir.</w:t>
      </w:r>
    </w:p>
    <w:p w:rsidR="5D43163C" w:rsidP="29148734" w:rsidRDefault="5D43163C" w14:paraId="25557219" w14:textId="546A27BC">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Bu aşamada delil durumu, sözleşme hükümleri, ticari teamüller ve tarafların önceki uygulamaları birlikte değerlendirilmelidir. Hukuki nitelendirme hatası, uyuşmazlığın çözümünü geciktiren ve maliyetleri artıran temel unsurlardan biridir.</w:t>
      </w:r>
    </w:p>
    <w:p w:rsidR="5D43163C" w:rsidP="29148734" w:rsidRDefault="5D43163C" w14:paraId="79E82021" w14:textId="642AD9E4">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5D43163C">
        <w:rPr>
          <w:rFonts w:ascii="Arial" w:hAnsi="Arial" w:eastAsia="Arial" w:cs="Arial" w:asciiTheme="minorAscii" w:hAnsiTheme="minorAscii" w:eastAsiaTheme="minorAscii" w:cstheme="minorAscii"/>
          <w:b w:val="1"/>
          <w:bCs w:val="1"/>
          <w:noProof w:val="0"/>
          <w:color w:val="auto"/>
          <w:sz w:val="22"/>
          <w:szCs w:val="22"/>
          <w:lang w:val="tr-TR"/>
        </w:rPr>
        <w:t>Müzakere Sürecinin Hukuki Çerçevede Yürütülmesi</w:t>
      </w:r>
    </w:p>
    <w:p w:rsidR="5D43163C" w:rsidP="29148734" w:rsidRDefault="5D43163C" w14:paraId="5D54773F" w14:textId="17999C8A">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Ticari uyuşmazlıklarda müzakere, çoğu zaman en hızlı ve kontrol edilebilir çözüm yollarından biridir. Ancak bu sürecin hukuki çerçeveden kopuk şekilde yürütülmesi, yeni risklerin ortaya çıkmasına yol açabilmektedir. Taraflar arasında yapılan yazışmalar, verilen taahhütler ve sunulan ödeme teklifleri, ilerleyen aşamalarda delil niteliği kazanabilecek beyanlara dönüşebilmektedir.</w:t>
      </w:r>
    </w:p>
    <w:p w:rsidR="5D43163C" w:rsidP="29148734" w:rsidRDefault="5D43163C" w14:paraId="397ADDC0" w14:textId="7FCCBACF">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Bu nedenle müzakere süreci, tarafların hukuki pozisyonlarını koruyacak şekilde yapılandırılmalı; geçici çözümler ile kalıcı sonuçlar arasındaki ayrım net biçimde ortaya konulmalıdır. Aksi hâlde çözüm arayışı, uyuşmazlığın kapsamını genişletebilmektedir.</w:t>
      </w:r>
    </w:p>
    <w:p w:rsidR="5D43163C" w:rsidP="29148734" w:rsidRDefault="5D43163C" w14:paraId="222F90D8" w14:textId="71230D42">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5D43163C">
        <w:rPr>
          <w:rFonts w:ascii="Arial" w:hAnsi="Arial" w:eastAsia="Arial" w:cs="Arial" w:asciiTheme="minorAscii" w:hAnsiTheme="minorAscii" w:eastAsiaTheme="minorAscii" w:cstheme="minorAscii"/>
          <w:b w:val="1"/>
          <w:bCs w:val="1"/>
          <w:noProof w:val="0"/>
          <w:color w:val="auto"/>
          <w:sz w:val="22"/>
          <w:szCs w:val="22"/>
          <w:lang w:val="tr-TR"/>
        </w:rPr>
        <w:t>Arabuluculuk ve Yapılandırılmış Uzlaşma Süreçleri</w:t>
      </w:r>
    </w:p>
    <w:p w:rsidR="5D43163C" w:rsidP="29148734" w:rsidRDefault="5D43163C" w14:paraId="6C9E7145" w14:textId="1551606D">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Ticari uyuşmazlıklarda arabuluculuk, taraflara yargı sürecine girmeden çözüm üretme imkânı sunmaktadır. Bu yöntemin etkinliği, uyuşmazlığın teknik boyutunun doğru aktarılmasına ve tarafların hukuki riskleri gerçekçi biçimde değerlendirmesine bağlıdır.</w:t>
      </w:r>
    </w:p>
    <w:p w:rsidR="5D43163C" w:rsidP="29148734" w:rsidRDefault="5D43163C" w14:paraId="0DC6C763" w14:textId="5234C6BA">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Arabuluculuk süreci, uyuşmazlığın içeriği hakkında yeterli hazırlık yapılmadan yürütüldüğünde sonuçsuz kalabilmektedir. Buna karşılık, hukuki taleplerin ve olası yargı sonuçlarının net biçimde ortaya konulduğu dosyalarda, arabuluculuk süreci taraflar açısından öngörülebilir ve dengeli bir çözüm alanı yaratmaktadır.</w:t>
      </w:r>
    </w:p>
    <w:p w:rsidR="5D43163C" w:rsidP="29148734" w:rsidRDefault="5D43163C" w14:paraId="66703A1A" w14:textId="3A9655BC">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5D43163C">
        <w:rPr>
          <w:rFonts w:ascii="Arial" w:hAnsi="Arial" w:eastAsia="Arial" w:cs="Arial" w:asciiTheme="minorAscii" w:hAnsiTheme="minorAscii" w:eastAsiaTheme="minorAscii" w:cstheme="minorAscii"/>
          <w:b w:val="1"/>
          <w:bCs w:val="1"/>
          <w:noProof w:val="0"/>
          <w:color w:val="auto"/>
          <w:sz w:val="22"/>
          <w:szCs w:val="22"/>
          <w:lang w:val="tr-TR"/>
        </w:rPr>
        <w:t>Tahkim Yolunun Değerlendirilmesi</w:t>
      </w:r>
    </w:p>
    <w:p w:rsidR="5D43163C" w:rsidP="29148734" w:rsidRDefault="5D43163C" w14:paraId="73D55320" w14:textId="1F7C9539">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Özellikle uluslararası ticari ilişkilerde tahkim, uzmanlık gerektiren uyuşmazlıklar bakımından önemli bir çözüm mekanizmasıdır. Tahkimin tercih edilmesi, uyuşmazlığın teknik yönlerinin daha hızlı ve alanında uzman kişiler tarafından ele alınmasına imkân tanımaktadır.</w:t>
      </w:r>
    </w:p>
    <w:p w:rsidR="5D43163C" w:rsidP="29148734" w:rsidRDefault="5D43163C" w14:paraId="5ACFE723" w14:textId="3FF21335">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Bununla birlikte tahkim, her uyuşmazlık bakımından uygun bir yol değildir. Tahkim şartının sözleşmede açık ve net biçimde düzenlenmemiş olması, tahkim yargılamasının daha başlangıç aşamasında usule ilişkin ciddi tartışmalara yol açabilmektedir. Bu nedenle tahkim, uyuşmazlık ortaya çıktıktan sonra başvurulacak bir yöntem olarak değil; sözleşme kurulma aşamasında bilinçli ve öngörülü şekilde planlanması gereken bir çözüm yolu olarak değerlendirilmelidir.</w:t>
      </w:r>
    </w:p>
    <w:p w:rsidR="5D43163C" w:rsidP="29148734" w:rsidRDefault="5D43163C" w14:paraId="4E7F8FA4" w14:textId="79B100F5">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5D43163C">
        <w:rPr>
          <w:rFonts w:ascii="Arial" w:hAnsi="Arial" w:eastAsia="Arial" w:cs="Arial" w:asciiTheme="minorAscii" w:hAnsiTheme="minorAscii" w:eastAsiaTheme="minorAscii" w:cstheme="minorAscii"/>
          <w:b w:val="1"/>
          <w:bCs w:val="1"/>
          <w:noProof w:val="0"/>
          <w:color w:val="auto"/>
          <w:sz w:val="22"/>
          <w:szCs w:val="22"/>
          <w:lang w:val="tr-TR"/>
        </w:rPr>
        <w:t>Yargı Yoluna Başvurulması ve Dava Stratejisi</w:t>
      </w:r>
    </w:p>
    <w:p w:rsidR="5D43163C" w:rsidP="29148734" w:rsidRDefault="5D43163C" w14:paraId="6D6A7A7F" w14:textId="2C05CBD7">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Bazı ticari uyuşmazlıklarda yargı yoluna başvurmak kaçınılmazdır. Bu durumda çözümün etkinliği, davanın açılmasından çok davanın nasıl yönetildiğiyle ilgilidir. Taleplerin kapsamı, delil sunma stratejisi ve usulî riskler, dava sürecinin başında netleştirilmelidir.</w:t>
      </w:r>
    </w:p>
    <w:p w:rsidR="5D43163C" w:rsidP="29148734" w:rsidRDefault="5D43163C" w14:paraId="5A345473" w14:textId="6490DFB4">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Plansız yürütülen dava süreçleri, uyuşmazlığın çözümünü geciktirdiği gibi taraflar arasındaki ticari ilişkiyi de kalıcı biçimde zedeleyebilmektedir. Bu nedenle dava, başlı başına bir amaç değil; hukuki ve ticari hedeflerle uyumlu bir araç olarak ele alınmalıdır.</w:t>
      </w:r>
    </w:p>
    <w:p w:rsidR="5D43163C" w:rsidP="29148734" w:rsidRDefault="5D43163C" w14:paraId="756EF153" w14:textId="0FE0A45B">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5D43163C">
        <w:rPr>
          <w:rFonts w:ascii="Arial" w:hAnsi="Arial" w:eastAsia="Arial" w:cs="Arial" w:asciiTheme="minorAscii" w:hAnsiTheme="minorAscii" w:eastAsiaTheme="minorAscii" w:cstheme="minorAscii"/>
          <w:b w:val="1"/>
          <w:bCs w:val="1"/>
          <w:noProof w:val="0"/>
          <w:color w:val="auto"/>
          <w:sz w:val="22"/>
          <w:szCs w:val="22"/>
          <w:lang w:val="tr-TR"/>
        </w:rPr>
        <w:t>Uyuşmazlık Sonrası Yapısal Düzenlemeler</w:t>
      </w:r>
    </w:p>
    <w:p w:rsidR="5D43163C" w:rsidP="29148734" w:rsidRDefault="5D43163C" w14:paraId="1941F8AE" w14:textId="6AC8B5C8">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Bir ticari uyuşmazlığın sona ermesi, benzer risklerin ortadan kalktığı anlamına gelmez. Uyuşmazlığa yol açan nedenlerin analiz edilmemesi hâlinde, benzer ihtilafların yeniden ortaya çıkması kaçınılmazdır.</w:t>
      </w:r>
    </w:p>
    <w:p w:rsidR="5D43163C" w:rsidP="29148734" w:rsidRDefault="5D43163C" w14:paraId="0A90FDE3" w14:textId="5B300C03">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Sözleşme hükümlerinin gözden geçirilmesi, yetki ve onay mekanizmalarının netleştirilmesi ile ödeme ve teslim süreçlerinin yeniden yapılandırılması, uyuşmazlık sonrası dönemin ayrılmaz unsurlarını oluşturmaktadır. Bu aşama, çözümden ziyade risk yönetimi niteliği taşımaktadır.</w:t>
      </w:r>
    </w:p>
    <w:p w:rsidR="5D43163C" w:rsidP="29148734" w:rsidRDefault="5D43163C" w14:paraId="289C4A59" w14:textId="7C71465C">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5D43163C">
        <w:rPr>
          <w:rFonts w:ascii="Arial" w:hAnsi="Arial" w:eastAsia="Arial" w:cs="Arial" w:asciiTheme="minorAscii" w:hAnsiTheme="minorAscii" w:eastAsiaTheme="minorAscii" w:cstheme="minorAscii"/>
          <w:b w:val="1"/>
          <w:bCs w:val="1"/>
          <w:noProof w:val="0"/>
          <w:color w:val="auto"/>
          <w:sz w:val="22"/>
          <w:szCs w:val="22"/>
          <w:lang w:val="tr-TR"/>
        </w:rPr>
        <w:t>Genel Değerlendirme</w:t>
      </w:r>
    </w:p>
    <w:p w:rsidR="5D43163C" w:rsidP="29148734" w:rsidRDefault="5D43163C" w14:paraId="760F95A5" w14:textId="20CA04BA">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Ticari uyuşmazlıklarda etkili çözüm, tek bir yönteme indirgenemez. Uyuşmazlığın hukuki niteliğine uygun araçların, doğru zamanda ve doğru kapsamda kullanılması belirleyici olmaktadır.</w:t>
      </w:r>
    </w:p>
    <w:p w:rsidR="5D43163C" w:rsidP="29148734" w:rsidRDefault="5D43163C" w14:paraId="0F19D65C" w14:textId="238347F5">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5D43163C">
        <w:rPr>
          <w:rFonts w:ascii="Arial" w:hAnsi="Arial" w:eastAsia="Arial" w:cs="Arial" w:asciiTheme="minorAscii" w:hAnsiTheme="minorAscii" w:eastAsiaTheme="minorAscii" w:cstheme="minorAscii"/>
          <w:noProof w:val="0"/>
          <w:color w:val="auto"/>
          <w:sz w:val="22"/>
          <w:szCs w:val="22"/>
          <w:lang w:val="tr-TR"/>
        </w:rPr>
        <w:t>Sürecin amacı, ihtilafı sona erdirmekten ziyade hukuki belirsizliği ortadan kaldırmak ve ticari ilişkilerin sürdürülebilirliğini sağlamaktır. Bu yaklaşım benimsendiğinde, ticari uyuşmazlıklar yönetilebilir bir hukuki risk alanı hâline gelmektedir.</w:t>
      </w:r>
    </w:p>
    <w:p w:rsidR="29148734" w:rsidP="29148734" w:rsidRDefault="29148734" w14:paraId="31A86833" w14:textId="777844A1">
      <w:pPr>
        <w:pStyle w:val="ListParagraph"/>
        <w:spacing w:after="0"/>
        <w:ind w:left="0"/>
        <w:jc w:val="both"/>
        <w:rPr>
          <w:rFonts w:ascii="Arial" w:hAnsi="Arial" w:eastAsia="Arial" w:cs="Arial" w:asciiTheme="minorAscii" w:hAnsiTheme="minorAscii" w:eastAsiaTheme="minorAscii" w:cstheme="minorAscii"/>
          <w:noProof w:val="0"/>
          <w:color w:val="auto"/>
          <w:sz w:val="22"/>
          <w:szCs w:val="22"/>
          <w:lang w:val="tr-TR"/>
        </w:rPr>
      </w:pPr>
    </w:p>
    <w:p xmlns:wp14="http://schemas.microsoft.com/office/word/2010/wordml" w:rsidP="29148734" wp14:paraId="66B2095D" wp14:textId="4519B3A1">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Pr>
          <w:rFonts w:ascii="Arial" w:hAnsi="Arial" w:eastAsia="Arial" w:cs="Arial" w:asciiTheme="minorAscii" w:hAnsiTheme="minorAscii" w:eastAsiaTheme="minorAscii" w:cstheme="minorAscii"/>
          <w:color w:val="auto"/>
          <w:sz w:val="22"/>
          <w:szCs w:val="22"/>
        </w:rPr>
        <w:br w:type="page"/>
      </w: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UYUŞMAZLIK ÇÖZÜMÜNDE ALTERNATİF YÖNTEMLER NELERDİR?</w:t>
      </w:r>
    </w:p>
    <w:p xmlns:wp14="http://schemas.microsoft.com/office/word/2010/wordml" w:rsidP="29148734" wp14:paraId="201E2831" wp14:textId="5A40B24B">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ARALIK 2025</w:t>
      </w:r>
    </w:p>
    <w:p xmlns:wp14="http://schemas.microsoft.com/office/word/2010/wordml" w:rsidP="29148734" wp14:paraId="7A0A9965" wp14:textId="063638F0">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Şirketler, bireyler ve kamu kurumları arasındaki uyuşmazlıklar her geçen yıl daha karmaşık bir hâl almaktadır. Mahkeme süreçleri ise hem uzun sürebilmekte hem de yüksek maliyetli olabilmektedir. Bu nedenle birçok taraf, uyuşmazlıkları daha hızlı, gizli ve esnek şekilde çözebileceği alternatif uyuşmazlık çözüm yöntemlerine, diğer bir ifadeyle ADR yöntemlerine, yönelmektedir.</w:t>
      </w:r>
    </w:p>
    <w:p xmlns:wp14="http://schemas.microsoft.com/office/word/2010/wordml" w:rsidP="29148734" wp14:paraId="64CBCD91" wp14:textId="49EE9FD5">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1. Arabuluculuk</w:t>
      </w:r>
    </w:p>
    <w:p xmlns:wp14="http://schemas.microsoft.com/office/word/2010/wordml" w:rsidP="29148734" wp14:paraId="6D0FB2F4" wp14:textId="431A07C2">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Arabuluculuk, tarafsız bir üçüncü kişinin desteğiyle tarafların kendi çözümlerini bulduğu uzlaşma temelli bir süreçtir.</w:t>
      </w:r>
    </w:p>
    <w:p xmlns:wp14="http://schemas.microsoft.com/office/word/2010/wordml" w:rsidP="29148734" wp14:paraId="0DBF656D" wp14:textId="0E8DCCB1">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Temel özellikleri şunlardır:</w:t>
      </w:r>
    </w:p>
    <w:p xmlns:wp14="http://schemas.microsoft.com/office/word/2010/wordml" w:rsidP="29148734" wp14:paraId="0B412914" wp14:textId="038C77ED">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Gönüllülük esasına dayanır.</w:t>
      </w:r>
    </w:p>
    <w:p xmlns:wp14="http://schemas.microsoft.com/office/word/2010/wordml" w:rsidP="29148734" wp14:paraId="6573338D" wp14:textId="225D879C">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Arabulucu karar vermez, süreci kolaylaştırır.</w:t>
      </w:r>
    </w:p>
    <w:p xmlns:wp14="http://schemas.microsoft.com/office/word/2010/wordml" w:rsidP="29148734" wp14:paraId="5A997516" wp14:textId="3B9BEC6F">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Tarafların vardığı anlaşma, şartları sağlanmak kaydıyla mahkeme ilamı niteliğinde belge gücü kazanabilir.</w:t>
      </w:r>
    </w:p>
    <w:p xmlns:wp14="http://schemas.microsoft.com/office/word/2010/wordml" w:rsidP="29148734" wp14:paraId="68B8412C" wp14:textId="018DC4C5">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Kullanım alanları arasında iş uyuşmazlıkları, ticari sözleşme uyuşmazlıkları, kira ve tüketici uyuşmazlıkları yer almaktadır.</w:t>
      </w:r>
    </w:p>
    <w:p xmlns:wp14="http://schemas.microsoft.com/office/word/2010/wordml" w:rsidP="29148734" wp14:paraId="07916416" wp14:textId="3BA0F1B5">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Türkiye’de arabuluculuk, 6325 sayılı Hukuk Uyuşmazlıklarında Arabuluculuk Kanunu ile düzenlenmiştir. İş, ticaret, kira ve tüketici uyuşmazlıklarında, kanunda öngörülen hâllerde dava açmadan önce arabuluculuğa başvurulması zorunludur.</w:t>
      </w:r>
    </w:p>
    <w:p xmlns:wp14="http://schemas.microsoft.com/office/word/2010/wordml" w:rsidP="29148734" wp14:paraId="4F5C0909" wp14:textId="4E3AA19A">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2. Tahkim</w:t>
      </w:r>
    </w:p>
    <w:p xmlns:wp14="http://schemas.microsoft.com/office/word/2010/wordml" w:rsidP="29148734" wp14:paraId="6553B0FE" wp14:textId="7BCF3DA6">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Tahkim, taraflar arasındaki uyuşmazlıkların devlet mahkemeleri yerine hakem veya hakem heyeti tarafından çözümlenmesidir. Özellikle uluslararası ticaret sözleşmelerinde sıkça tercih edilmektedir.</w:t>
      </w:r>
    </w:p>
    <w:p xmlns:wp14="http://schemas.microsoft.com/office/word/2010/wordml" w:rsidP="29148734" wp14:paraId="05350BD4" wp14:textId="78D60ED2">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Avantajları şunlardır:</w:t>
      </w:r>
    </w:p>
    <w:p xmlns:wp14="http://schemas.microsoft.com/office/word/2010/wordml" w:rsidP="29148734" wp14:paraId="2D7E138A" wp14:textId="643190F4">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Süreç gizli yürütülebilir.</w:t>
      </w:r>
    </w:p>
    <w:p xmlns:wp14="http://schemas.microsoft.com/office/word/2010/wordml" w:rsidP="29148734" wp14:paraId="244E8E39" wp14:textId="0C4C4E92">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Kararlar görece daha hızlı alınabilir.</w:t>
      </w:r>
    </w:p>
    <w:p xmlns:wp14="http://schemas.microsoft.com/office/word/2010/wordml" w:rsidP="29148734" wp14:paraId="000E1DDB" wp14:textId="2D3FBD23">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Hakemler, alanında uzman kişiler arasından seçilebilir.</w:t>
      </w:r>
    </w:p>
    <w:p xmlns:wp14="http://schemas.microsoft.com/office/word/2010/wordml" w:rsidP="29148734" wp14:paraId="49F98324" wp14:textId="58D2FE21">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Kararlar kural olarak kesin niteliktedir; ancak kanunda öngörülen sınırlı sebeplerle iptal davasına konu edilebilir.</w:t>
      </w:r>
    </w:p>
    <w:p xmlns:wp14="http://schemas.microsoft.com/office/word/2010/wordml" w:rsidP="29148734" wp14:paraId="71EEAF8A" wp14:textId="68635E08">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Tahkim süreci, iç tahkim bakımından 6100 sayılı Hukuk Muhakemeleri Kanunu, milletlerarası tahkim bakımından ise 4686 sayılı Milletlerarası Tahkim Kanunu hükümleri çerçevesinde yürütülür. Uluslararası tahkimde sık başvurulan kurumlar arasında ICC, ICSID, LCIA ve ISTAC yer almaktadır.</w:t>
      </w:r>
    </w:p>
    <w:p xmlns:wp14="http://schemas.microsoft.com/office/word/2010/wordml" w:rsidP="29148734" wp14:paraId="47B8CFB6" wp14:textId="2EBFFAD6">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3. Uzlaştırma</w:t>
      </w:r>
    </w:p>
    <w:p xmlns:wp14="http://schemas.microsoft.com/office/word/2010/wordml" w:rsidP="29148734" wp14:paraId="717907A1" wp14:textId="5FD860D4">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Uzlaştırma, ceza hukukuna özgü bir alternatif çözüm yöntemidir. Taraflar, bir uzlaştırmacı aracılığıyla anlaşmaya varmaya çalışır.</w:t>
      </w:r>
    </w:p>
    <w:p xmlns:wp14="http://schemas.microsoft.com/office/word/2010/wordml" w:rsidP="29148734" wp14:paraId="2B93661B" wp14:textId="17D1AB1B">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Uygulama alanı genel olarak şikâyete tabi suçlar, kanunda uzlaştırma kapsamında olduğu belirtilen bazı suçlar ve küçük ölçekli zararların giderilmesine elverişli uyuşmazlıklardır.</w:t>
      </w:r>
    </w:p>
    <w:p xmlns:wp14="http://schemas.microsoft.com/office/word/2010/wordml" w:rsidP="29148734" wp14:paraId="47B8CAE8" wp14:textId="7D6FE2D1">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Uzlaşma sağlandığında, soruşturma veya kovuşturmanın aşamasına göre kamu davası açılmayabilir ya da açılmış dava düşebilir. Bu mekanizma, ceza yargılamasında barışçıl çözüm kültürünün gelişmesine katkı sağlar.</w:t>
      </w:r>
    </w:p>
    <w:p xmlns:wp14="http://schemas.microsoft.com/office/word/2010/wordml" w:rsidP="29148734" wp14:paraId="2BA5F5AB" wp14:textId="393A2DC2">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4. Müzakere</w:t>
      </w:r>
    </w:p>
    <w:p xmlns:wp14="http://schemas.microsoft.com/office/word/2010/wordml" w:rsidP="29148734" wp14:paraId="2BD0B6EC" wp14:textId="3943EA69">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Müzakere, tarafların üçüncü bir kişiye başvurmadan doğrudan birbirleriyle görüşerek çözüm aradığı esnek bir yöntemdir.</w:t>
      </w:r>
    </w:p>
    <w:p xmlns:wp14="http://schemas.microsoft.com/office/word/2010/wordml" w:rsidP="29148734" wp14:paraId="258BA35D" wp14:textId="247B3993">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Uzun vadeli iş ilişkilerinin korunmasını hedefleyen taraflar için uygundur. Taraflar süreci istedikleri zaman durdurabilir, yeniden başlatabilir veya koşulları değiştirebilir. Hız, gizlilik ve karşılıklı anlayış, müzakerenin en güçlü yönleridir.</w:t>
      </w:r>
    </w:p>
    <w:p xmlns:wp14="http://schemas.microsoft.com/office/word/2010/wordml" w:rsidP="29148734" wp14:paraId="302EB76A" wp14:textId="3E5E3A4F">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5. Karma Yöntemler</w:t>
      </w:r>
    </w:p>
    <w:p xmlns:wp14="http://schemas.microsoft.com/office/word/2010/wordml" w:rsidP="29148734" wp14:paraId="5C3426B3" wp14:textId="3FC2AE49">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Bazı uyuşmazlıklar, birden fazla yöntemin birlikte kullanılmasını gerektirebilir.</w:t>
      </w:r>
    </w:p>
    <w:p xmlns:wp14="http://schemas.microsoft.com/office/word/2010/wordml" w:rsidP="29148734" wp14:paraId="13C163A8" wp14:textId="75B96E89">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Örneğin:</w:t>
      </w:r>
    </w:p>
    <w:p xmlns:wp14="http://schemas.microsoft.com/office/word/2010/wordml" w:rsidP="29148734" wp14:paraId="48452E0E" wp14:textId="2567F8C7">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Med-Arb:</w:t>
      </w:r>
      <w:r w:rsidRPr="29148734" w:rsidR="7803186B">
        <w:rPr>
          <w:rFonts w:ascii="Arial" w:hAnsi="Arial" w:eastAsia="Arial" w:cs="Arial" w:asciiTheme="minorAscii" w:hAnsiTheme="minorAscii" w:eastAsiaTheme="minorAscii" w:cstheme="minorAscii"/>
          <w:noProof w:val="0"/>
          <w:color w:val="auto"/>
          <w:sz w:val="22"/>
          <w:szCs w:val="22"/>
          <w:lang w:val="tr-TR"/>
        </w:rPr>
        <w:t xml:space="preserve"> Taraflar önce arabuluculuk yoluyla uzlaşmayı dener; sonuç alınamazsa tahkime geçilir.</w:t>
      </w:r>
    </w:p>
    <w:p xmlns:wp14="http://schemas.microsoft.com/office/word/2010/wordml" w:rsidP="29148734" wp14:paraId="4B9F9CFD" wp14:textId="00D4CEEF">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Arb-Med:</w:t>
      </w:r>
      <w:r w:rsidRPr="29148734" w:rsidR="7803186B">
        <w:rPr>
          <w:rFonts w:ascii="Arial" w:hAnsi="Arial" w:eastAsia="Arial" w:cs="Arial" w:asciiTheme="minorAscii" w:hAnsiTheme="minorAscii" w:eastAsiaTheme="minorAscii" w:cstheme="minorAscii"/>
          <w:noProof w:val="0"/>
          <w:color w:val="auto"/>
          <w:sz w:val="22"/>
          <w:szCs w:val="22"/>
          <w:lang w:val="tr-TR"/>
        </w:rPr>
        <w:t xml:space="preserve"> Tahkim süreci başlatılır; hakem kararı verilmeden önce taraflara uzlaşma imkânı tanınır.</w:t>
      </w:r>
    </w:p>
    <w:p xmlns:wp14="http://schemas.microsoft.com/office/word/2010/wordml" w:rsidP="29148734" wp14:paraId="7337597A" wp14:textId="130091FB">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Karma yöntemler özellikle enerji, inşaat ve finans projelerinde tercih edilmektedir.</w:t>
      </w:r>
    </w:p>
    <w:p xmlns:wp14="http://schemas.microsoft.com/office/word/2010/wordml" w:rsidP="29148734" wp14:paraId="7B05DD52" wp14:textId="5D337412">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7803186B">
        <w:rPr>
          <w:rFonts w:ascii="Arial" w:hAnsi="Arial" w:eastAsia="Arial" w:cs="Arial" w:asciiTheme="minorAscii" w:hAnsiTheme="minorAscii" w:eastAsiaTheme="minorAscii" w:cstheme="minorAscii"/>
          <w:b w:val="1"/>
          <w:bCs w:val="1"/>
          <w:noProof w:val="0"/>
          <w:color w:val="auto"/>
          <w:sz w:val="22"/>
          <w:szCs w:val="22"/>
          <w:lang w:val="tr-TR"/>
        </w:rPr>
        <w:t>Kısa Değerlendirme</w:t>
      </w:r>
    </w:p>
    <w:p xmlns:wp14="http://schemas.microsoft.com/office/word/2010/wordml" w:rsidP="29148734" wp14:paraId="5A4472C8" wp14:textId="1C7D55F7">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Alternatif uyuşmazlık çözüm yöntemleri, dava yükünü azaltırken zaman ve maliyet açısından da önemli avantajlar sağlar. Her uyuşmazlık farklı dinamikler içerdiğinden, doğru yöntemin seçilmesi sürecin başarısını doğrudan etkiler.</w:t>
      </w:r>
    </w:p>
    <w:p xmlns:wp14="http://schemas.microsoft.com/office/word/2010/wordml" w:rsidP="29148734" wp14:paraId="4A459F4C" wp14:textId="3CE4CBF1">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7803186B">
        <w:rPr>
          <w:rFonts w:ascii="Arial" w:hAnsi="Arial" w:eastAsia="Arial" w:cs="Arial" w:asciiTheme="minorAscii" w:hAnsiTheme="minorAscii" w:eastAsiaTheme="minorAscii" w:cstheme="minorAscii"/>
          <w:noProof w:val="0"/>
          <w:color w:val="auto"/>
          <w:sz w:val="22"/>
          <w:szCs w:val="22"/>
          <w:lang w:val="tr-TR"/>
        </w:rPr>
        <w:t>Birçok işletme, sözleşmelerine arabuluculuk veya tahkim şartı ekleyerek olası uyuşmazlıkları baştan kontrol altına almaktadır. Etkili bir çözüm yöntemi, uyuşmazlığı sona erdirmenin yanında taraflar arasındaki güveni ve iş ilişkisini korumaya da katkı sağlar.</w:t>
      </w:r>
    </w:p>
    <w:p xmlns:wp14="http://schemas.microsoft.com/office/word/2010/wordml" w:rsidP="29148734" wp14:paraId="557FB227" wp14:textId="4512C7CD">
      <w:pPr>
        <w:jc w:val="both"/>
        <w:rPr>
          <w:rFonts w:ascii="Arial" w:hAnsi="Arial" w:eastAsia="Arial" w:cs="Arial" w:asciiTheme="minorAscii" w:hAnsiTheme="minorAscii" w:eastAsiaTheme="minorAscii" w:cstheme="minorAscii"/>
          <w:color w:val="auto"/>
          <w:sz w:val="22"/>
          <w:szCs w:val="22"/>
        </w:rPr>
      </w:pPr>
    </w:p>
    <w:p xmlns:wp14="http://schemas.microsoft.com/office/word/2010/wordml" w:rsidP="29148734" wp14:paraId="0387B68E" wp14:textId="78FE4452">
      <w:pPr>
        <w:pStyle w:val="ListParagraph"/>
        <w:spacing w:after="0"/>
        <w:ind w:left="0"/>
        <w:jc w:val="both"/>
        <w:rPr>
          <w:rFonts w:ascii="Arial" w:hAnsi="Arial" w:eastAsia="Arial" w:cs="Arial" w:asciiTheme="minorAscii" w:hAnsiTheme="minorAscii" w:eastAsiaTheme="minorAscii" w:cstheme="minorAscii"/>
          <w:noProof w:val="0"/>
          <w:color w:val="auto"/>
          <w:sz w:val="22"/>
          <w:szCs w:val="22"/>
          <w:lang w:val="tr-TR"/>
        </w:rPr>
      </w:pPr>
    </w:p>
    <w:p xmlns:wp14="http://schemas.microsoft.com/office/word/2010/wordml" w:rsidP="29148734" wp14:paraId="1FE157DD" wp14:textId="23E9F041">
      <w:pPr>
        <w:jc w:val="both"/>
        <w:rPr>
          <w:rFonts w:ascii="Arial" w:hAnsi="Arial" w:eastAsia="Arial" w:cs="Arial" w:asciiTheme="minorAscii" w:hAnsiTheme="minorAscii" w:eastAsiaTheme="minorAscii" w:cstheme="minorAscii"/>
          <w:color w:val="auto"/>
          <w:sz w:val="22"/>
          <w:szCs w:val="22"/>
        </w:rPr>
      </w:pPr>
      <w:r w:rsidRPr="29148734">
        <w:rPr>
          <w:rFonts w:ascii="Arial" w:hAnsi="Arial" w:eastAsia="Arial" w:cs="Arial" w:asciiTheme="minorAscii" w:hAnsiTheme="minorAscii" w:eastAsiaTheme="minorAscii" w:cstheme="minorAscii"/>
          <w:color w:val="auto"/>
          <w:sz w:val="22"/>
          <w:szCs w:val="22"/>
        </w:rPr>
        <w:br w:type="page"/>
      </w:r>
    </w:p>
    <w:p w:rsidR="6683C548" w:rsidP="29148734" w:rsidRDefault="6683C548" w14:paraId="3375326E" w14:textId="4F710833">
      <w:pPr>
        <w:pStyle w:val="ListParagraph"/>
        <w:spacing w:after="0"/>
        <w:ind w:left="0"/>
        <w:jc w:val="both"/>
        <w:rPr>
          <w:rFonts w:ascii="Arial" w:hAnsi="Arial" w:eastAsia="Arial" w:cs="Arial" w:asciiTheme="minorAscii" w:hAnsiTheme="minorAscii" w:eastAsiaTheme="minorAscii" w:cstheme="minorAscii"/>
          <w:b w:val="0"/>
          <w:bCs w:val="0"/>
          <w:i w:val="0"/>
          <w:iCs w:val="0"/>
          <w:caps w:val="0"/>
          <w:smallCaps w:val="0"/>
          <w:noProof w:val="0"/>
          <w:color w:val="auto" w:themeColor="text1" w:themeTint="FF" w:themeShade="FF"/>
          <w:sz w:val="22"/>
          <w:szCs w:val="22"/>
          <w:lang w:val="tr-TR"/>
        </w:rPr>
      </w:pPr>
      <w:r w:rsidRPr="29148734" w:rsidR="5A23E50C">
        <w:rPr>
          <w:rFonts w:ascii="Arial" w:hAnsi="Arial" w:eastAsia="Arial" w:cs="Arial" w:asciiTheme="minorAscii" w:hAnsiTheme="minorAscii" w:eastAsiaTheme="minorAscii" w:cstheme="minorAscii"/>
          <w:b w:val="0"/>
          <w:bCs w:val="0"/>
          <w:i w:val="0"/>
          <w:iCs w:val="0"/>
          <w:caps w:val="0"/>
          <w:smallCaps w:val="0"/>
          <w:noProof w:val="0"/>
          <w:color w:val="auto"/>
          <w:sz w:val="22"/>
          <w:szCs w:val="22"/>
          <w:lang w:val="tr-TR"/>
        </w:rPr>
        <w:t>KASIM 2025</w:t>
      </w:r>
    </w:p>
    <w:p w:rsidR="2622F8B7" w:rsidP="29148734" w:rsidRDefault="2622F8B7" w14:paraId="54CB04D9" w14:textId="7FB29B1E">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KASIM 2025</w:t>
      </w:r>
    </w:p>
    <w:p w:rsidR="2622F8B7" w:rsidP="29148734" w:rsidRDefault="2622F8B7" w14:paraId="4B60E41B" w14:textId="41E81E70">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ENERJİ HUKUKU SERİSİ #4 – ENERJİ PİYASASINDA UYUŞMAZLIKLAR VE TAHKİM</w:t>
      </w:r>
    </w:p>
    <w:p w:rsidR="2622F8B7" w:rsidP="29148734" w:rsidRDefault="2622F8B7" w14:paraId="705B2FE2" w14:textId="3CCBA040">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Enerji piyasası, yüksek finansal değerler ve karmaşık sözleşme yapıları nedeniyle uyuşmazlıklara en açık sektörlerden biridir. Bu nedenle uyuşmazlıkların çözümünde hızlı, güvenilir ve uzmanlık gerektiren mekanizmalara ihtiyaç duyulmaktadır.</w:t>
      </w:r>
    </w:p>
    <w:p w:rsidR="2622F8B7" w:rsidP="29148734" w:rsidRDefault="2622F8B7" w14:paraId="59E4933E" w14:textId="4EB0BC67">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Tahkim, enerji alanındaki uyuşmazlıklar bakımından kritik bir çözüm yöntemi olarak öne çıkmaktadır.</w:t>
      </w:r>
    </w:p>
    <w:p w:rsidR="2622F8B7" w:rsidP="29148734" w:rsidRDefault="2622F8B7" w14:paraId="37D902C3" w14:textId="7F79CA46">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Bu seride, enerji piyasasında yaşanan uyuşmazlıkların neden ortaya çıktığı ve tahkimin bu süreçlerde neden tercih edildiği ele alınmaktadır.</w:t>
      </w:r>
    </w:p>
    <w:p w:rsidR="2622F8B7" w:rsidP="29148734" w:rsidRDefault="2622F8B7" w14:paraId="007B4E21" w14:textId="1822B85F">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Enerji Sözleşmelerinin Karmaşık Yapısı Risk Oluşturmaktadır</w:t>
      </w:r>
    </w:p>
    <w:p w:rsidR="2622F8B7" w:rsidP="29148734" w:rsidRDefault="2622F8B7" w14:paraId="3958FE3F" w14:textId="542A33DA">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Enerji sektöründe yapılan sözleşmeler uzun süreli, teknik detayları yoğun ve çok taraflı niteliktedir. Bu yapı, yorum farklılıklarına ve yükümlülüklerin hatalı ifasına zemin hazırlamaktadır. Sözleşme hükümlerinin belirsiz bırakılması, uyuşmazlıkların temel nedenlerinden biridir.</w:t>
      </w:r>
    </w:p>
    <w:p w:rsidR="2622F8B7" w:rsidP="29148734" w:rsidRDefault="2622F8B7" w14:paraId="592A4C6B" w14:textId="5C8F1923">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Piyasa Dalgalanmaları Uyuşmazlıkları Tetiklemektedir</w:t>
      </w:r>
    </w:p>
    <w:p w:rsidR="2622F8B7" w:rsidP="29148734" w:rsidRDefault="2622F8B7" w14:paraId="56D8D41F" w14:textId="6DD251AC">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Elektrik ve doğal gaz fiyatlarındaki dalgalanmalar, tarafların mali yükümlülüklerini doğrudan etkilemektedir. Spot fiyat değişimleri, kapasite planlaması ve arz-talep dengesindeki oynaklık yeni uyuşmazlıklar doğurabilmektedir. Bu nedenle enerji piyasası, ekonomik değişimlere en hızlı tepki veren sektörlerden biridir.</w:t>
      </w:r>
    </w:p>
    <w:p w:rsidR="2622F8B7" w:rsidP="29148734" w:rsidRDefault="2622F8B7" w14:paraId="4DBFAE39" w14:textId="6EAEA977">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Düzenleyici Çerçevenin Genişliği Hukuki Hassasiyet Gerektirmektedir</w:t>
      </w:r>
    </w:p>
    <w:p w:rsidR="2622F8B7" w:rsidP="29148734" w:rsidRDefault="2622F8B7" w14:paraId="2E649B5C" w14:textId="21E8330C">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Enerji piyasasındaki mevzuat sürekli güncellenmektedir. EPDK düzenlemeleri, lisans yükümlülükleri ve piyasaya özgü denetimler dikkatle takip edilmelidir. Bu çerçevede uyumsuzluk yaşanması, idari yaptırımlara ve sözleşmesel ihtilaflara yol açabilmektedir.</w:t>
      </w:r>
    </w:p>
    <w:p w:rsidR="2622F8B7" w:rsidP="29148734" w:rsidRDefault="2622F8B7" w14:paraId="65F37052" w14:textId="5C1DE27B">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Performans, Tedarik ve Teslimat Uyuşmazlıkları Sık Görülmektedir</w:t>
      </w:r>
    </w:p>
    <w:p w:rsidR="2622F8B7" w:rsidP="29148734" w:rsidRDefault="2622F8B7" w14:paraId="696A693B" w14:textId="44FF362C">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Tedarik süreleri, kapasite kullanımı ve teslimat yükümlülükleri enerji sözleşmelerinin merkezinde yer almaktadır. Gecikmeler veya eksik ifalar, ciddi mali sonuçlara neden olabilmektedir. Bu tür durumlar, taraflar arasında en sık karşılaşılan ihtilafların temelini oluşturmaktadır.</w:t>
      </w:r>
    </w:p>
    <w:p w:rsidR="2622F8B7" w:rsidP="29148734" w:rsidRDefault="2622F8B7" w14:paraId="1F5D84AD" w14:textId="222A9F44">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Fiyat Formülleri ve Hesaplama Hataları Uyuşmazlık Kaynağıdır</w:t>
      </w:r>
    </w:p>
    <w:p w:rsidR="2622F8B7" w:rsidP="29148734" w:rsidRDefault="2622F8B7" w14:paraId="4742C8F9" w14:textId="5F415CBD">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Enerji sözleşmelerinde kullanılan fiyat ayarlama mekanizmaları karmaşık formüllere dayanabilmektedir. Yanlış hesaplamalar veya farklı yorumlamalar ciddi uyuşmazlıklara yol açabilmektedir. Bu nedenle fiyatlandırma hükümlerinin açık, anlaşılır ve denetlenebilir olması gerekmektedir.</w:t>
      </w:r>
    </w:p>
    <w:p w:rsidR="2622F8B7" w:rsidP="29148734" w:rsidRDefault="2622F8B7" w14:paraId="774F69CD" w14:textId="02062D05">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Tahkimin Enerji Sektöründe Tercih Edilme Nedeni</w:t>
      </w:r>
    </w:p>
    <w:p w:rsidR="2622F8B7" w:rsidP="29148734" w:rsidRDefault="2622F8B7" w14:paraId="781AF49C" w14:textId="6446DC42">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Tahkim, karmaşık teknik konuların uzman kişilerce değerlendirilmesini sağlamaktadır.</w:t>
      </w:r>
    </w:p>
    <w:p w:rsidR="2622F8B7" w:rsidP="29148734" w:rsidRDefault="2622F8B7" w14:paraId="4EC7A92E" w14:textId="7B77CBBA">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Kararların görece hızlı verilmesi, enerji piyasasında ticari süreklilik açısından önemli bir avantaj sağlamaktadır.</w:t>
      </w:r>
    </w:p>
    <w:p w:rsidR="2622F8B7" w:rsidP="29148734" w:rsidRDefault="2622F8B7" w14:paraId="52B903A7" w14:textId="50F01947">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Tarafların süreci gizlilik içinde yürütebilmesi, ticari itibarın korunması açısından önem taşımaktadır.</w:t>
      </w:r>
    </w:p>
    <w:p w:rsidR="2622F8B7" w:rsidP="29148734" w:rsidRDefault="2622F8B7" w14:paraId="39A24B87" w14:textId="7B90D11D">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Uluslararası yatırımcılar, enerji yatırımlarında tahkimi standart bir güvence mekanizması olarak görmektedir.</w:t>
      </w:r>
    </w:p>
    <w:p w:rsidR="2622F8B7" w:rsidP="29148734" w:rsidRDefault="2622F8B7" w14:paraId="3DFF55B2" w14:textId="4B6670D9">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Uluslararası Enerji Yatırımlarında Tahkimin Rolü</w:t>
      </w:r>
    </w:p>
    <w:p w:rsidR="2622F8B7" w:rsidP="29148734" w:rsidRDefault="2622F8B7" w14:paraId="2B611D7A" w14:textId="30A0919E">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Yabancı yatırımcıların enerji projelerine dâhil olduğu durumlarda uluslararası tahkim kritik hâle gelmektedir. Bu tür uyuşmazlıklarda, devlet ile yatırımcı arasındaki ihtilaflar tahkim yoluyla çözüme kavuşturulabilmektedir. Enerji Şartı Anlaşması (“ECT”) gibi mekanizmalar, yatırımcıya hukuki koruma sağlamaktadır.</w:t>
      </w:r>
    </w:p>
    <w:p w:rsidR="2622F8B7" w:rsidP="29148734" w:rsidRDefault="2622F8B7" w14:paraId="77ACCB95" w14:textId="08C22CC6">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Tahkim Şartının Doğru Kurulması Gereklidir</w:t>
      </w:r>
    </w:p>
    <w:p w:rsidR="2622F8B7" w:rsidP="29148734" w:rsidRDefault="2622F8B7" w14:paraId="1AD703BF" w14:textId="677D5C4B">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Sözleşmedeki tahkim şartının veya tahkim klozunun eksik ya da hatalı düzenlenmesi, sürecin sağlıklı yürütülmesini engelleyebilmektedir. Öyle ki bu bölümde yapılacak bir hata, tahkim şartının geçerliliğini dahi riske atabilmektedir. Dolayısıyla tahkim yeri, hakem seçimi ve uygulanacak hukuk tereddüde yer bırakmayacak şekilde düzenlenmelidir.</w:t>
      </w:r>
    </w:p>
    <w:p w:rsidR="2622F8B7" w:rsidP="29148734" w:rsidRDefault="2622F8B7" w14:paraId="5985581B" w14:textId="68B7EDA9">
      <w:pPr>
        <w:spacing w:before="240" w:beforeAutospacing="off" w:after="240" w:afterAutospacing="off"/>
        <w:jc w:val="both"/>
        <w:rPr>
          <w:rFonts w:ascii="Arial" w:hAnsi="Arial" w:eastAsia="Arial" w:cs="Arial" w:asciiTheme="minorAscii" w:hAnsiTheme="minorAscii" w:eastAsiaTheme="minorAscii" w:cstheme="minorAscii"/>
          <w:b w:val="1"/>
          <w:bCs w:val="1"/>
          <w:noProof w:val="0"/>
          <w:color w:val="auto"/>
          <w:sz w:val="22"/>
          <w:szCs w:val="22"/>
          <w:lang w:val="tr-TR"/>
        </w:rPr>
      </w:pPr>
      <w:r w:rsidRPr="29148734" w:rsidR="2622F8B7">
        <w:rPr>
          <w:rFonts w:ascii="Arial" w:hAnsi="Arial" w:eastAsia="Arial" w:cs="Arial" w:asciiTheme="minorAscii" w:hAnsiTheme="minorAscii" w:eastAsiaTheme="minorAscii" w:cstheme="minorAscii"/>
          <w:b w:val="1"/>
          <w:bCs w:val="1"/>
          <w:noProof w:val="0"/>
          <w:color w:val="auto"/>
          <w:sz w:val="22"/>
          <w:szCs w:val="22"/>
          <w:lang w:val="tr-TR"/>
        </w:rPr>
        <w:t>Sonuç</w:t>
      </w:r>
    </w:p>
    <w:p w:rsidR="2622F8B7" w:rsidP="29148734" w:rsidRDefault="2622F8B7" w14:paraId="644F6548" w14:textId="515A4086">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Enerji piyasasında uyuşmazlıkların etkin şekilde yönetilmesi için güçlü bir hukuki altyapı gereklidir. Tahkim, bu karmaşık süreçlerde hızlı ve uzmanlık odaklı bir çözüm sunmaktadır.</w:t>
      </w:r>
    </w:p>
    <w:p w:rsidR="2622F8B7" w:rsidP="29148734" w:rsidRDefault="2622F8B7" w14:paraId="29D8859E" w14:textId="39651536">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Doğru hazırlanmış sözleşmeler, güçlü uyum süreçleri ve yerinde hukuki destek, enerji sektöründe güvenilir bir iş ortamı oluşturmaktadır.</w:t>
      </w:r>
    </w:p>
    <w:p w:rsidR="2622F8B7" w:rsidP="29148734" w:rsidRDefault="2622F8B7" w14:paraId="6458B93B" w14:textId="72590C67">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Enerji Hukuku Serisi’nin bu bölümü, piyasadaki ihtilafların nasıl yönetilmesi gerektiğine ışık tutmaktadır.</w:t>
      </w:r>
    </w:p>
    <w:p w:rsidR="2622F8B7" w:rsidP="29148734" w:rsidRDefault="2622F8B7" w14:paraId="560AA10B" w14:textId="0CC50C7D">
      <w:pPr>
        <w:spacing w:before="240" w:beforeAutospacing="off" w:after="240" w:afterAutospacing="off"/>
        <w:jc w:val="both"/>
        <w:rPr>
          <w:rFonts w:ascii="Arial" w:hAnsi="Arial" w:eastAsia="Arial" w:cs="Arial" w:asciiTheme="minorAscii" w:hAnsiTheme="minorAscii" w:eastAsiaTheme="minorAscii" w:cstheme="minorAscii"/>
          <w:noProof w:val="0"/>
          <w:color w:val="auto"/>
          <w:sz w:val="22"/>
          <w:szCs w:val="22"/>
          <w:lang w:val="tr-TR"/>
        </w:rPr>
      </w:pPr>
      <w:r w:rsidRPr="29148734" w:rsidR="2622F8B7">
        <w:rPr>
          <w:rFonts w:ascii="Arial" w:hAnsi="Arial" w:eastAsia="Arial" w:cs="Arial" w:asciiTheme="minorAscii" w:hAnsiTheme="minorAscii" w:eastAsiaTheme="minorAscii" w:cstheme="minorAscii"/>
          <w:noProof w:val="0"/>
          <w:color w:val="auto"/>
          <w:sz w:val="22"/>
          <w:szCs w:val="22"/>
          <w:lang w:val="tr-TR"/>
        </w:rPr>
        <w:t>Serinin devamı için bizi takip etmeyi unutmayın.</w:t>
      </w:r>
    </w:p>
    <w:p w:rsidR="29148734" w:rsidP="29148734" w:rsidRDefault="29148734" w14:paraId="5AD36ED2" w14:textId="54017145">
      <w:pPr>
        <w:pStyle w:val="Normal"/>
        <w:spacing w:line="276" w:lineRule="auto"/>
        <w:jc w:val="both"/>
        <w:rPr>
          <w:rFonts w:ascii="Arial" w:hAnsi="Arial" w:eastAsia="Arial" w:cs="Arial" w:asciiTheme="minorAscii" w:hAnsiTheme="minorAscii" w:eastAsiaTheme="minorAscii" w:cstheme="minorAscii"/>
          <w:noProof w:val="0"/>
          <w:color w:val="auto"/>
          <w:sz w:val="22"/>
          <w:szCs w:val="22"/>
          <w:lang w:val="tr-TR"/>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nsid w:val="6d19ed96"/>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19a8768"/>
    <w:multiLevelType xmlns:w="http://schemas.openxmlformats.org/wordprocessingml/2006/main" w:val="hybridMultilevel"/>
    <w:lvl xmlns:w="http://schemas.openxmlformats.org/wordprocessingml/2006/main" w:ilvl="0">
      <w:start w:val="10"/>
      <w:numFmt w:val="upperRoman"/>
      <w:lvlText w:val="%1."/>
      <w:lvlJc w:val="right"/>
      <w:pPr>
        <w:ind w:left="720" w:hanging="360"/>
      </w:pPr>
      <w:rPr>
        <w:rFonts w:hint="default" w:ascii="Times New Roman" w:hAnsi="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CAD44"/>
    <w:rsid w:val="009F5A4C"/>
    <w:rsid w:val="017E6727"/>
    <w:rsid w:val="05B8E3E5"/>
    <w:rsid w:val="06DE10FE"/>
    <w:rsid w:val="09F65B9C"/>
    <w:rsid w:val="0C5B05BD"/>
    <w:rsid w:val="0D0CAD44"/>
    <w:rsid w:val="0D1D8223"/>
    <w:rsid w:val="0F8281A4"/>
    <w:rsid w:val="10CABB0B"/>
    <w:rsid w:val="170F2298"/>
    <w:rsid w:val="17A46368"/>
    <w:rsid w:val="1A8AD4DD"/>
    <w:rsid w:val="1BAE2956"/>
    <w:rsid w:val="2138C106"/>
    <w:rsid w:val="22D2EB46"/>
    <w:rsid w:val="2306610C"/>
    <w:rsid w:val="2518E063"/>
    <w:rsid w:val="2543BFBC"/>
    <w:rsid w:val="2622F8B7"/>
    <w:rsid w:val="26E1C291"/>
    <w:rsid w:val="27775491"/>
    <w:rsid w:val="27FFB4E5"/>
    <w:rsid w:val="29148734"/>
    <w:rsid w:val="2CCAB7F5"/>
    <w:rsid w:val="302A8732"/>
    <w:rsid w:val="30539C86"/>
    <w:rsid w:val="3167C0CB"/>
    <w:rsid w:val="32D483A2"/>
    <w:rsid w:val="34E39576"/>
    <w:rsid w:val="3762CC8D"/>
    <w:rsid w:val="388AA0C7"/>
    <w:rsid w:val="3BB1E2A7"/>
    <w:rsid w:val="3E0908B1"/>
    <w:rsid w:val="3E8D9346"/>
    <w:rsid w:val="3F4B5DFF"/>
    <w:rsid w:val="4002633E"/>
    <w:rsid w:val="417A6572"/>
    <w:rsid w:val="4191D83B"/>
    <w:rsid w:val="443268B0"/>
    <w:rsid w:val="4617AEEF"/>
    <w:rsid w:val="46A6249A"/>
    <w:rsid w:val="4707205C"/>
    <w:rsid w:val="48078085"/>
    <w:rsid w:val="48E38F4B"/>
    <w:rsid w:val="4921384D"/>
    <w:rsid w:val="495B9FB0"/>
    <w:rsid w:val="4B765ECA"/>
    <w:rsid w:val="4FAEAA91"/>
    <w:rsid w:val="51DEC7BD"/>
    <w:rsid w:val="51EDCE5A"/>
    <w:rsid w:val="51F97D9E"/>
    <w:rsid w:val="5256B682"/>
    <w:rsid w:val="5345B875"/>
    <w:rsid w:val="5A23E50C"/>
    <w:rsid w:val="5BB96240"/>
    <w:rsid w:val="5D43163C"/>
    <w:rsid w:val="5D837183"/>
    <w:rsid w:val="5F32F219"/>
    <w:rsid w:val="5F57FB5B"/>
    <w:rsid w:val="611F0B70"/>
    <w:rsid w:val="6120F76D"/>
    <w:rsid w:val="62001CC7"/>
    <w:rsid w:val="622F0690"/>
    <w:rsid w:val="6419A46E"/>
    <w:rsid w:val="6683C548"/>
    <w:rsid w:val="698EC431"/>
    <w:rsid w:val="6A6A32BC"/>
    <w:rsid w:val="6DF2B5E6"/>
    <w:rsid w:val="76C78B93"/>
    <w:rsid w:val="76E8DF96"/>
    <w:rsid w:val="7738B3D3"/>
    <w:rsid w:val="7765E027"/>
    <w:rsid w:val="7803186B"/>
    <w:rsid w:val="7D6F6072"/>
    <w:rsid w:val="7D916953"/>
    <w:rsid w:val="7E06EE19"/>
    <w:rsid w:val="7F440F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6F882"/>
  <w15:chartTrackingRefBased/>
  <w15:docId w15:val="{ABAD3F72-25DD-432A-96D0-28A1266B13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tr-T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120F76D"/>
    <w:pPr>
      <w:spacing/>
      <w:ind w:left="720"/>
      <w:contextualSpacing/>
    </w:pPr>
  </w:style>
  <w:style w:type="paragraph" w:styleId="Heading3">
    <w:uiPriority w:val="9"/>
    <w:name w:val="heading 3"/>
    <w:basedOn w:val="Normal"/>
    <w:next w:val="Normal"/>
    <w:unhideWhenUsed/>
    <w:qFormat/>
    <w:rsid w:val="6120F76D"/>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numbering" Target="numbering.xml" Id="R01f1a247d09a44a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32817905-1EE5-40A9-ACB5-3FDD920B5FE8}"/>
</file>

<file path=customXml/itemProps2.xml><?xml version="1.0" encoding="utf-8"?>
<ds:datastoreItem xmlns:ds="http://schemas.openxmlformats.org/officeDocument/2006/customXml" ds:itemID="{EF67008D-4949-4806-9A2A-77353549E001}"/>
</file>

<file path=customXml/itemProps3.xml><?xml version="1.0" encoding="utf-8"?>
<ds:datastoreItem xmlns:ds="http://schemas.openxmlformats.org/officeDocument/2006/customXml" ds:itemID="{ADE91409-C4A1-4B71-BA65-3F853C6B9D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Ezgi  Oprukçu</dc:creator>
  <keywords/>
  <dc:description/>
  <lastModifiedBy>Ezgi  Oprukçu</lastModifiedBy>
  <dcterms:created xsi:type="dcterms:W3CDTF">2026-04-20T08:04:25.0000000Z</dcterms:created>
  <dcterms:modified xsi:type="dcterms:W3CDTF">2026-05-08T13:18:50.6113353Z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