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3D719" w14:textId="1626CE04" w:rsidR="0034422A" w:rsidRDefault="0034422A" w:rsidP="0034422A">
      <w:pPr>
        <w:jc w:val="right"/>
        <w:rPr>
          <w:rFonts w:ascii="Times New Roman" w:hAnsi="Times New Roman" w:cs="Times New Roman"/>
          <w:b/>
          <w:bCs/>
          <w:sz w:val="22"/>
          <w:szCs w:val="22"/>
        </w:rPr>
      </w:pPr>
      <w:r>
        <w:rPr>
          <w:rFonts w:ascii="Times New Roman" w:hAnsi="Times New Roman" w:cs="Times New Roman"/>
          <w:b/>
          <w:bCs/>
          <w:sz w:val="22"/>
          <w:szCs w:val="22"/>
        </w:rPr>
        <w:t>EYLÜL 2025 - OCAK 2026</w:t>
      </w:r>
    </w:p>
    <w:p w14:paraId="56E47059" w14:textId="5930D121" w:rsidR="00E12008" w:rsidRPr="00D626AB" w:rsidRDefault="00D73490" w:rsidP="001527A2">
      <w:pPr>
        <w:jc w:val="center"/>
        <w:rPr>
          <w:rFonts w:ascii="Times New Roman" w:hAnsi="Times New Roman" w:cs="Times New Roman"/>
          <w:b/>
          <w:bCs/>
          <w:sz w:val="22"/>
          <w:szCs w:val="22"/>
        </w:rPr>
      </w:pPr>
      <w:r w:rsidRPr="00D626AB">
        <w:rPr>
          <w:rFonts w:ascii="Times New Roman" w:hAnsi="Times New Roman" w:cs="Times New Roman"/>
          <w:b/>
          <w:bCs/>
          <w:sz w:val="22"/>
          <w:szCs w:val="22"/>
        </w:rPr>
        <w:t>VIII. ŞİRKETLER HUKUKU VE KURUMSAL YAPI</w:t>
      </w:r>
    </w:p>
    <w:p w14:paraId="48083124" w14:textId="23AFE396" w:rsidR="001527A2" w:rsidRPr="00D626AB" w:rsidRDefault="00C17D27" w:rsidP="00C17D27">
      <w:pPr>
        <w:jc w:val="right"/>
        <w:rPr>
          <w:rFonts w:ascii="Times New Roman" w:hAnsi="Times New Roman" w:cs="Times New Roman"/>
          <w:b/>
          <w:bCs/>
          <w:sz w:val="22"/>
          <w:szCs w:val="22"/>
        </w:rPr>
      </w:pPr>
      <w:r>
        <w:rPr>
          <w:rFonts w:ascii="Times New Roman" w:hAnsi="Times New Roman" w:cs="Times New Roman"/>
          <w:b/>
          <w:bCs/>
          <w:sz w:val="22"/>
          <w:szCs w:val="22"/>
        </w:rPr>
        <w:t>EKİM 202</w:t>
      </w:r>
      <w:r w:rsidR="0034422A">
        <w:rPr>
          <w:rFonts w:ascii="Times New Roman" w:hAnsi="Times New Roman" w:cs="Times New Roman"/>
          <w:b/>
          <w:bCs/>
          <w:sz w:val="22"/>
          <w:szCs w:val="22"/>
        </w:rPr>
        <w:t>5</w:t>
      </w:r>
    </w:p>
    <w:p w14:paraId="6FB3BB26" w14:textId="488A87D1" w:rsidR="001527A2" w:rsidRPr="00D626AB" w:rsidRDefault="001527A2" w:rsidP="001527A2">
      <w:pPr>
        <w:pStyle w:val="ListeParagraf"/>
        <w:numPr>
          <w:ilvl w:val="0"/>
          <w:numId w:val="1"/>
        </w:numPr>
        <w:spacing w:after="0"/>
        <w:ind w:left="0"/>
        <w:jc w:val="both"/>
        <w:rPr>
          <w:rFonts w:ascii="Times New Roman" w:hAnsi="Times New Roman" w:cs="Times New Roman"/>
          <w:b/>
          <w:bCs/>
          <w:sz w:val="22"/>
          <w:szCs w:val="22"/>
        </w:rPr>
      </w:pPr>
      <w:r w:rsidRPr="00D626AB">
        <w:rPr>
          <w:rFonts w:ascii="Times New Roman" w:hAnsi="Times New Roman" w:cs="Times New Roman"/>
          <w:b/>
          <w:bCs/>
          <w:sz w:val="22"/>
          <w:szCs w:val="22"/>
        </w:rPr>
        <w:t>ŞİRKET ORTAKLARININ BİRBİRİNE KARŞI SORUMLULUKLARI NELERDİR?</w:t>
      </w:r>
    </w:p>
    <w:p w14:paraId="0E9FAE11" w14:textId="77777777" w:rsidR="00E7482B" w:rsidRPr="00D626AB" w:rsidRDefault="00E7482B" w:rsidP="00E7482B">
      <w:pPr>
        <w:spacing w:after="0"/>
        <w:jc w:val="both"/>
        <w:rPr>
          <w:rFonts w:ascii="Times New Roman" w:hAnsi="Times New Roman" w:cs="Times New Roman"/>
          <w:b/>
          <w:bCs/>
          <w:sz w:val="22"/>
          <w:szCs w:val="22"/>
        </w:rPr>
      </w:pPr>
    </w:p>
    <w:p w14:paraId="5C262BEB"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Şirket ortakları arasında yaşanan uyuşmazlıklar, çoğu zaman “kim kime karşı sorumlu?” sorusuyla başlar.</w:t>
      </w:r>
    </w:p>
    <w:p w14:paraId="3F6FC2B8"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Bir ortağın şirkete zarar veren bir işlem yapması, diğer ortaklardan bilgi gizlemesi veya şirketi rekabete maruz bırakması ciddi sonuçlar doğurabilir.</w:t>
      </w:r>
    </w:p>
    <w:p w14:paraId="3D8DD959"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Türk Ticaret Kanunu bu durumu öngörmüş ve ortakların birbirine karşı sorumluluklarını açıkça düzenlemiştir.</w:t>
      </w:r>
    </w:p>
    <w:p w14:paraId="05D7F045"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Hukuki Dayanak: Türk Ticaret Kanunu</w:t>
      </w:r>
    </w:p>
    <w:p w14:paraId="48293EBD"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Ortakların birbirine karşı sorumluluklarını belirleyen temel hükümler 6102 sayılı Türk Ticaret Kanunu’nda yer alır.</w:t>
      </w:r>
    </w:p>
    <w:p w14:paraId="7158B0EC"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Kanun, ticari işletmelerin dürüstlük kuralına göre yönetilmesini zorunlu tutar ve ortakların “basiretli bir iş insanı gibi” hareket etmesini ister.</w:t>
      </w:r>
    </w:p>
    <w:p w14:paraId="72884CE3"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Ayrıca ortaklar arasında güveni zedeleyecek, şirket varlıklarını tehlikeye sokacak ya da haksız rekabet oluşturacak davranışlar yasaklanmıştır.</w:t>
      </w:r>
    </w:p>
    <w:p w14:paraId="71FA83BE"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Bu kapsamda ortakların uyması gereken temel ilkeler şunlardır:</w:t>
      </w:r>
    </w:p>
    <w:p w14:paraId="329D03CA"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Sadakat ve Dürüstlük Yükümlülüğü</w:t>
      </w:r>
    </w:p>
    <w:p w14:paraId="4CA72849"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Ortaklar, şirketin çıkarlarını kendi çıkarlarının önünde tutmakla yükümlüdür.</w:t>
      </w:r>
    </w:p>
    <w:p w14:paraId="43C1526F"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Şirketin zararına olacak bir işlem yapmak, bilgi gizlemek ya da şirketin itibarını zedeleyecek davranışlarda bulunmak, sadakat borcunun ihlali sayılır.</w:t>
      </w:r>
    </w:p>
    <w:p w14:paraId="6A8444F6"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Dürüstlük ilkesi ise, her ortağın diğerini yanıltmadan, güven esasına dayalı biçimde hareket etmesini gerektirir.</w:t>
      </w:r>
    </w:p>
    <w:p w14:paraId="6F568CFF"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Bu yükümlülük, hem şirketin hem ortakların menfaatini korur.</w:t>
      </w:r>
    </w:p>
    <w:p w14:paraId="666C0799"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Bilgi Verme ve Hesap Verme Borcu</w:t>
      </w:r>
    </w:p>
    <w:p w14:paraId="596C6740"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Şirket işlerini yürüten ortak, yaptığı tüm işlemlerle ilgili diğer ortaklara bilgi vermek ve hesap sunmak zorundadır.</w:t>
      </w:r>
    </w:p>
    <w:p w14:paraId="2EC1E6F4"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Bu borç, ortakların denetim hakkının doğal bir sonucudur.</w:t>
      </w:r>
    </w:p>
    <w:p w14:paraId="5FC5FD46"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Bir ortak, diğerlerini bilgilendirmeden işlem yaparsa ya da şirket kayıtlarını paylaşmazsa, kanunen sorumluluk doğar.</w:t>
      </w:r>
    </w:p>
    <w:p w14:paraId="49925014"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Türk Ticaret Kanunu, ticari faaliyetlerde şeffaflığı güvence altına alır; bilgi gizlemek, bu şeffaflığın ihlali anlamına gelir.</w:t>
      </w:r>
    </w:p>
    <w:p w14:paraId="0D16ED74"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Şirket Mallarına Özen Gösterme</w:t>
      </w:r>
    </w:p>
    <w:p w14:paraId="43A03AFB"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lastRenderedPageBreak/>
        <w:t>Şirket varlıkları, tüm ortakların ortak emeğiyle oluşur.</w:t>
      </w:r>
    </w:p>
    <w:p w14:paraId="75037FBB"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Bu nedenle, ortaklar şirket mallarını korumak, gereksiz risklerden kaçınmak ve kaynakları dikkatli biçimde kullanmakla yükümlüdür.</w:t>
      </w:r>
    </w:p>
    <w:p w14:paraId="22480CE4"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Kanun, tacirlerin her durumda “basiretli bir iş insanı gibi” davranmasını şart koşar.</w:t>
      </w:r>
    </w:p>
    <w:p w14:paraId="4123464B"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Bir ortak, ihmaliyle şirket malvarlığında zarara yol açarsa, diğer ortaklara karşı da sorumlu hale gelir.</w:t>
      </w:r>
    </w:p>
    <w:p w14:paraId="014C7F52"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Rekabet Etmeme Borcu</w:t>
      </w:r>
    </w:p>
    <w:p w14:paraId="6EBD189F"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Ortaklardan biri, şirketin faaliyet alanıyla aynı sektörde iş yapamaz.</w:t>
      </w:r>
    </w:p>
    <w:p w14:paraId="67666F91"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Bu durum, Türk Ticaret Kanunu’nun açıkça yasakladığı bir rekabet ihlalidir.</w:t>
      </w:r>
    </w:p>
    <w:p w14:paraId="5FD2F0F4"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Özellikle kollektif ve komandit şirketlerde, ortağın aynı alanda iş kurması veya rakip firmaya ortak olması yasaktır.</w:t>
      </w:r>
    </w:p>
    <w:p w14:paraId="3A72B455"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Anonim ve limited şirketlerde ise, yönetim organında bulunan ortaklar açısından bu yasak daha sıkı uygulanır.</w:t>
      </w:r>
    </w:p>
    <w:p w14:paraId="5D7CE5BD"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Amaç, şirketin ticari sırlarını ve pazar konumunu korumaktır.</w:t>
      </w:r>
    </w:p>
    <w:p w14:paraId="1B865ABB"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Şeffaflık ve Eşit Davranma İlkesi</w:t>
      </w:r>
    </w:p>
    <w:p w14:paraId="0C536DF6"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Ortaklar arasında adaletin sağlanması, eşitlik ilkesine bağlıdır.</w:t>
      </w:r>
    </w:p>
    <w:p w14:paraId="77AE286B"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Bir ortağa bilgi, imkân veya avantaj sağlanırken diğer ortakların bundan mahrum bırakılması, şirket içi güveni sarsar.</w:t>
      </w:r>
    </w:p>
    <w:p w14:paraId="6F517798"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Eşit işlem ilkesi, ortakların haklarının korunmasını ve karar süreçlerinde adil bir temsilin sağlanmasını amaçlar.</w:t>
      </w:r>
    </w:p>
    <w:p w14:paraId="2366039F"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Bu ilke, şirketin uzun vadeli başarısı için hayati önem taşır.</w:t>
      </w:r>
    </w:p>
    <w:p w14:paraId="1BA5B8EA"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Kâr ve Zararın Paylaşımı</w:t>
      </w:r>
    </w:p>
    <w:p w14:paraId="3FB3ADCB"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Türk Ticaret Kanunu’na göre ortaklar, sözleşmede farklı bir oran belirlenmedikçe, kâr ve zarara eşit biçimde katılır.</w:t>
      </w:r>
    </w:p>
    <w:p w14:paraId="6B1F14D8"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Hiçbir ortak, kazanca dahil olup zarardan kaçınma hakkına sahip değildir.</w:t>
      </w:r>
    </w:p>
    <w:p w14:paraId="226F82FB"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Bu düzenleme, ortaklık ilişkisinde dayanışma ve adaletin temelini oluşturur.</w:t>
      </w:r>
    </w:p>
    <w:p w14:paraId="2B0088DD"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Kârın paylaşımında olduğu gibi, zararın da paylaşımı ortaklık ilişkisinin doğal sonucudur.</w:t>
      </w:r>
    </w:p>
    <w:p w14:paraId="4E8F4A2B"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Ortakların birbirine karşı sorumlulukları, şirketin güven temeline dayalı biçimde sürdürülebilmesini sağlar.</w:t>
      </w:r>
    </w:p>
    <w:p w14:paraId="6A1D4330"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Sadakat, dürüstlük, bilgi paylaşımı, özen, rekabetten kaçınma ve eşit davranma ilkeleri, hukuki bir gerekliliğin ötesinde ticari etik kuralı niteliğindedir.</w:t>
      </w:r>
    </w:p>
    <w:p w14:paraId="7FA77408"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Bu değerlere uygun hareket eden ortaklıklar, hem kendi iç yapısında uyumu korur hem de dış dünyada güvenilir bir itibar kazanır.</w:t>
      </w:r>
    </w:p>
    <w:p w14:paraId="561B50D0" w14:textId="77777777" w:rsidR="00E7482B" w:rsidRPr="00D626AB" w:rsidRDefault="00E7482B" w:rsidP="00E7482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Bir şirketin uzun ömürlü olmasını sağlayan, sermayeden çok ortaklar arasındaki güvenin devamlılığıdır.</w:t>
      </w:r>
    </w:p>
    <w:p w14:paraId="513D66FA" w14:textId="77777777" w:rsidR="00E7482B" w:rsidRPr="00D626AB" w:rsidRDefault="00E7482B" w:rsidP="00E7482B">
      <w:pPr>
        <w:spacing w:after="0"/>
        <w:jc w:val="both"/>
        <w:rPr>
          <w:rFonts w:ascii="Times New Roman" w:hAnsi="Times New Roman" w:cs="Times New Roman"/>
          <w:b/>
          <w:bCs/>
          <w:sz w:val="22"/>
          <w:szCs w:val="22"/>
        </w:rPr>
      </w:pPr>
    </w:p>
    <w:p w14:paraId="03887D98" w14:textId="77777777" w:rsidR="00E7482B" w:rsidRPr="00D626AB" w:rsidRDefault="00E7482B" w:rsidP="00E7482B">
      <w:pPr>
        <w:spacing w:after="0"/>
        <w:jc w:val="both"/>
        <w:rPr>
          <w:rFonts w:ascii="Times New Roman" w:hAnsi="Times New Roman" w:cs="Times New Roman"/>
          <w:b/>
          <w:bCs/>
          <w:sz w:val="22"/>
          <w:szCs w:val="22"/>
        </w:rPr>
      </w:pPr>
    </w:p>
    <w:p w14:paraId="2EFDDD79" w14:textId="77777777" w:rsidR="00E7482B" w:rsidRDefault="00E7482B" w:rsidP="00E7482B">
      <w:pPr>
        <w:spacing w:after="0"/>
        <w:jc w:val="both"/>
        <w:rPr>
          <w:rFonts w:ascii="Times New Roman" w:hAnsi="Times New Roman" w:cs="Times New Roman"/>
          <w:b/>
          <w:bCs/>
          <w:sz w:val="22"/>
          <w:szCs w:val="22"/>
        </w:rPr>
      </w:pPr>
    </w:p>
    <w:p w14:paraId="647E2F53" w14:textId="76D81B10" w:rsidR="00C17D27" w:rsidRPr="00D626AB" w:rsidRDefault="00C17D27" w:rsidP="00C17D27">
      <w:pPr>
        <w:spacing w:after="0"/>
        <w:jc w:val="right"/>
        <w:rPr>
          <w:rFonts w:ascii="Times New Roman" w:hAnsi="Times New Roman" w:cs="Times New Roman"/>
          <w:b/>
          <w:bCs/>
          <w:sz w:val="22"/>
          <w:szCs w:val="22"/>
        </w:rPr>
      </w:pPr>
      <w:r>
        <w:rPr>
          <w:rFonts w:ascii="Times New Roman" w:hAnsi="Times New Roman" w:cs="Times New Roman"/>
          <w:b/>
          <w:bCs/>
          <w:sz w:val="22"/>
          <w:szCs w:val="22"/>
        </w:rPr>
        <w:t>KASIM 2025</w:t>
      </w:r>
    </w:p>
    <w:p w14:paraId="5D1F81E9" w14:textId="05894634" w:rsidR="001527A2" w:rsidRPr="00D626AB" w:rsidRDefault="001527A2" w:rsidP="001527A2">
      <w:pPr>
        <w:pStyle w:val="ListeParagraf"/>
        <w:numPr>
          <w:ilvl w:val="0"/>
          <w:numId w:val="1"/>
        </w:numPr>
        <w:spacing w:after="0"/>
        <w:ind w:left="0"/>
        <w:jc w:val="both"/>
        <w:rPr>
          <w:rFonts w:ascii="Times New Roman" w:hAnsi="Times New Roman" w:cs="Times New Roman"/>
          <w:b/>
          <w:bCs/>
          <w:sz w:val="22"/>
          <w:szCs w:val="22"/>
        </w:rPr>
      </w:pPr>
      <w:r w:rsidRPr="00D626AB">
        <w:rPr>
          <w:rFonts w:ascii="Times New Roman" w:hAnsi="Times New Roman" w:cs="Times New Roman"/>
          <w:b/>
          <w:bCs/>
          <w:sz w:val="22"/>
          <w:szCs w:val="22"/>
        </w:rPr>
        <w:t>İŞ DÜNYASINDA HUKUK SERİSİ #1 – ŞİRKET KURULUŞUNUN HUKUKİ TEMELLERİ</w:t>
      </w:r>
    </w:p>
    <w:p w14:paraId="7A33E779" w14:textId="77777777" w:rsidR="00152B10" w:rsidRPr="00D626AB" w:rsidRDefault="00152B10" w:rsidP="00152B10">
      <w:pPr>
        <w:pStyle w:val="ListeParagraf"/>
        <w:spacing w:after="0"/>
        <w:ind w:left="0"/>
        <w:jc w:val="both"/>
        <w:rPr>
          <w:rFonts w:ascii="Times New Roman" w:hAnsi="Times New Roman" w:cs="Times New Roman"/>
          <w:b/>
          <w:bCs/>
          <w:sz w:val="22"/>
          <w:szCs w:val="22"/>
        </w:rPr>
      </w:pPr>
    </w:p>
    <w:p w14:paraId="154A5F80"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Türk Ticaret Kanunu (“TTK”), ticari hayatın yapısını belirleyen temel düzenleme olarak, işletmelerin kuruluş ve işleyiş süreçlerine yön vermektedir.</w:t>
      </w:r>
    </w:p>
    <w:p w14:paraId="613E5B4F"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Bir iş fikrinin şirket yapısı içinde hayata geçirilmesi, ekonomik bir tercihin ötesinde, tüzel kişiliğin doğduğu bir hukuki süreci ifade etmektedir.</w:t>
      </w:r>
    </w:p>
    <w:p w14:paraId="3041CD2D"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Kuruluş aşamasında yapılan her işlem, ilerleyen dönemlerde şirketin hukuki güvenliğini, finansal sürdürülebilirliğini ve ticari itibarını şekillendirmektedir.</w:t>
      </w:r>
    </w:p>
    <w:p w14:paraId="67690B44"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Ticari İşletme ve Tacir Sıfatı</w:t>
      </w:r>
    </w:p>
    <w:p w14:paraId="43E21A53"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Ticari işletme, Türk Ticaret Kanunu’nda gelir elde etmeyi amaçlayan, bağımsız ve sürekli faaliyetlerin yürütüldüğü bir yapı olarak tanımlanmaktadır.</w:t>
      </w:r>
    </w:p>
    <w:p w14:paraId="5418CE33"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Bu tanım, bir girişimin hukuken ticari nitelik kazanıp kazanmadığını belirlemekte ve beraberinde tescil, unvan ve defter yükümlülüklerini doğurmaktadır.</w:t>
      </w:r>
    </w:p>
    <w:p w14:paraId="56AB5185"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Bir ticari işletmeyi kendi adına işleten kişi tacir sayılmakta ve tacir sıfatı, hem hak hem de sorumluluk doğuran bir hukuki statü oluşturmaktadır.</w:t>
      </w:r>
    </w:p>
    <w:p w14:paraId="056330BD"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Tacirler, ticaret siciline kayıt yaptırmakta, ticari unvan belirlemekte, ticari defter tutmakta ve faaliyetlerinde basiretli bir iş insanı gibi davranmaktadır.</w:t>
      </w:r>
    </w:p>
    <w:p w14:paraId="495178D5"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Tüzel kişiler bakımından da aynı esas geçerlidir; şirket, tescil işleminin tamamlanmasıyla tacir sıfatını kazanmaktadır.</w:t>
      </w:r>
    </w:p>
    <w:p w14:paraId="559569BB"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Kuruluşta Hukuki Dikkat Noktaları</w:t>
      </w:r>
    </w:p>
    <w:p w14:paraId="6006096B"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Bir şirketin sağlam temeller üzerinde kurulması, ilerleyen dönemlerde doğabilecek hukuki risklerin önlenmesi bakımından büyük önem taşımaktadır.</w:t>
      </w:r>
    </w:p>
    <w:p w14:paraId="62A42995"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Kuruluş sürecinde yapılan eksiklikler, yetki karmaşası, sermaye yetersizliği veya hatalı sözleşme maddeleri gibi unsurlar, ilerleyen aşamalarda ciddi uyuşmazlıklara yol açabilmektedir.</w:t>
      </w:r>
    </w:p>
    <w:p w14:paraId="4EDC1F8E"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Kuruluş sürecinde dikkat edilmesi gereken temel unsurlar şunlardır:</w:t>
      </w:r>
    </w:p>
    <w:p w14:paraId="6DB37009" w14:textId="77777777" w:rsidR="00152B10" w:rsidRPr="00D626AB" w:rsidRDefault="00152B10" w:rsidP="00152B10">
      <w:pPr>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 Şirket sözleşmesinin MERSİS sistemi üzerinden eksiksiz hazırlanması,</w:t>
      </w:r>
      <w:r w:rsidRPr="00D626AB">
        <w:rPr>
          <w:rFonts w:ascii="Times New Roman" w:hAnsi="Times New Roman" w:cs="Times New Roman"/>
          <w:color w:val="000000" w:themeColor="text1"/>
          <w:sz w:val="22"/>
          <w:szCs w:val="22"/>
        </w:rPr>
        <w:br/>
        <w:t>• Sermaye yapısının ve ortaklık oranlarının doğru belirlenmesi,</w:t>
      </w:r>
      <w:r w:rsidRPr="00D626AB">
        <w:rPr>
          <w:rFonts w:ascii="Times New Roman" w:hAnsi="Times New Roman" w:cs="Times New Roman"/>
          <w:color w:val="000000" w:themeColor="text1"/>
          <w:sz w:val="22"/>
          <w:szCs w:val="22"/>
        </w:rPr>
        <w:br/>
        <w:t>• Temsil yetkilerinin açık biçimde düzenlenmesi,</w:t>
      </w:r>
      <w:r w:rsidRPr="00D626AB">
        <w:rPr>
          <w:rFonts w:ascii="Times New Roman" w:hAnsi="Times New Roman" w:cs="Times New Roman"/>
          <w:color w:val="000000" w:themeColor="text1"/>
          <w:sz w:val="22"/>
          <w:szCs w:val="22"/>
        </w:rPr>
        <w:br/>
        <w:t>• Rekabet Kurumu payının zamanında yatırılması,</w:t>
      </w:r>
      <w:r w:rsidRPr="00D626AB">
        <w:rPr>
          <w:rFonts w:ascii="Times New Roman" w:hAnsi="Times New Roman" w:cs="Times New Roman"/>
          <w:color w:val="000000" w:themeColor="text1"/>
          <w:sz w:val="22"/>
          <w:szCs w:val="22"/>
        </w:rPr>
        <w:br/>
        <w:t>• Vergi, oda ve SGK kayıtlarının tescil süreciyle uyumlu yürütülmesi.</w:t>
      </w:r>
    </w:p>
    <w:p w14:paraId="17DE073A"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Bu adımların eksiksiz şekilde tamamlanması, kuruluşun hukuka uygun biçimde sonuçlanmasını ve şirketin güvenli bir zeminde faaliyet göstermesini sağlamaktadır.</w:t>
      </w:r>
    </w:p>
    <w:p w14:paraId="3BC7FC96"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Ticaret Siciline Tescil ve İlan</w:t>
      </w:r>
    </w:p>
    <w:p w14:paraId="0231C908"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Ticari işletmenin hukuken varlık kazanması, ticaret siciline tescil edilmesiyle mümkün olmaktadır.</w:t>
      </w:r>
    </w:p>
    <w:p w14:paraId="4AF9F6C5"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İşletme faaliyete geçtikten sonra on beş gün içinde tescil başvurusunun yapılması gerekmektedir.</w:t>
      </w:r>
    </w:p>
    <w:p w14:paraId="727CCC9E"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lastRenderedPageBreak/>
        <w:t>Başvuru, ilgili ticaret sicili müdürlüğüne yapılmakta ve müdürlük, sunulan belgelerin mevzuata uygunluğunu denetlemektedir.</w:t>
      </w:r>
    </w:p>
    <w:p w14:paraId="38C2AD34"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Tescil işleminin ardından, bilgiler Türkiye Ticaret Sicili Gazetesi’nde ilan edilmekte ve bu ilan, üçüncü kişiler açısından hukuki güvence işlevi görmektedir.</w:t>
      </w:r>
    </w:p>
    <w:p w14:paraId="1F7B7BA2"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Tescil edilmemiş bir husus, üçüncü kişilere karşı ileri sürülememekte; dolayısıyla tescil ve ilan, şirketin kimliğini ve temsil yetkisini resmileştirmektedir.</w:t>
      </w:r>
    </w:p>
    <w:p w14:paraId="5F42C43A"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Ticaret Unvanı ve Defter Düzeni</w:t>
      </w:r>
    </w:p>
    <w:p w14:paraId="1F6EBEC3"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Her tacir, faaliyetlerini belirlediği ticaret unvanı altında yürütmekte ve tüm belgelerinde bu unvanı kullanmaktadır.</w:t>
      </w:r>
    </w:p>
    <w:p w14:paraId="76990292"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Gerçek kişi tacirlerin unvanı ad ve soyadını içermekte, tüzel kişi tacirlerin unvanında ise faaliyet konusu ve şirket türü açıkça yer almaktadır.</w:t>
      </w:r>
    </w:p>
    <w:p w14:paraId="6704A308"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Ticaret unvanı işletmeden ayrı devredilememekte; işletmenin devri, unvanı da kapsamaktadır.</w:t>
      </w:r>
    </w:p>
    <w:p w14:paraId="37EF5DD2"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Ticari defterler, tacirin mali ve hukuki işlemlerinin şeffaf biçimde izlenebilmesini sağlamaktadır.</w:t>
      </w:r>
    </w:p>
    <w:p w14:paraId="74EF1B0D"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Yevmiye Defteri, Defter-i Kebir, Envanter Defteri ve sermaye şirketlerinde kullanılan Pay Defteri ile Yönetim Kurulu Karar Defteri başlıca zorunlu defterler arasında yer almaktadır.</w:t>
      </w:r>
    </w:p>
    <w:p w14:paraId="13EDB2CB"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Kayıtların Türkçe tutulması, geriye dönük olarak değiştirilememesi ve on yıl süreyle saklanması gerekmektedir.</w:t>
      </w:r>
    </w:p>
    <w:p w14:paraId="20F0CCF8"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Bu düzenlemeler, hem şeffaflık hem de ispat kolaylığı bakımından ticari hayatın temelini oluşturmaktadır.</w:t>
      </w:r>
    </w:p>
    <w:p w14:paraId="50F41AE9"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Şirket Türü Seçimi ve Kuruluş Süreci</w:t>
      </w:r>
    </w:p>
    <w:p w14:paraId="3FB94E29"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Türk hukuk sisteminde ticaret şirketleri; anonim, limited, kollektif, komandit ve kooperatif olmak üzere beş ana başlıkta düzenlenmektedir.</w:t>
      </w:r>
    </w:p>
    <w:p w14:paraId="42F85BDA"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Her bir şirket türü, sermaye yapısı, ortak sayısı ve sorumluluk düzeyi açısından farklı hükümler içermektedir.</w:t>
      </w:r>
    </w:p>
    <w:p w14:paraId="4CE895AF"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Kuruluş süreci genel olarak şu adımlardan oluşmaktadır:</w:t>
      </w:r>
    </w:p>
    <w:p w14:paraId="11C32C19" w14:textId="77777777" w:rsidR="00152B10" w:rsidRPr="00D626AB" w:rsidRDefault="00152B10" w:rsidP="00152B10">
      <w:pPr>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 Şirket sözleşmesinin hazırlanması ve onaylanması,</w:t>
      </w:r>
      <w:r w:rsidRPr="00D626AB">
        <w:rPr>
          <w:rFonts w:ascii="Times New Roman" w:hAnsi="Times New Roman" w:cs="Times New Roman"/>
          <w:color w:val="000000" w:themeColor="text1"/>
          <w:sz w:val="22"/>
          <w:szCs w:val="22"/>
        </w:rPr>
        <w:br/>
        <w:t>• Temsil yetkililerinin imza beyannamelerinin düzenlenmesi,</w:t>
      </w:r>
      <w:r w:rsidRPr="00D626AB">
        <w:rPr>
          <w:rFonts w:ascii="Times New Roman" w:hAnsi="Times New Roman" w:cs="Times New Roman"/>
          <w:color w:val="000000" w:themeColor="text1"/>
          <w:sz w:val="22"/>
          <w:szCs w:val="22"/>
        </w:rPr>
        <w:br/>
        <w:t>• Sermayenin belirlenen oranının bankaya yatırılması ve Rekabet Kurumu payının ödenmesi,</w:t>
      </w:r>
      <w:r w:rsidRPr="00D626AB">
        <w:rPr>
          <w:rFonts w:ascii="Times New Roman" w:hAnsi="Times New Roman" w:cs="Times New Roman"/>
          <w:color w:val="000000" w:themeColor="text1"/>
          <w:sz w:val="22"/>
          <w:szCs w:val="22"/>
        </w:rPr>
        <w:br/>
        <w:t>• Ticaret siciline başvuru, tescil ve ilan işlemlerinin tamamlanması,</w:t>
      </w:r>
      <w:r w:rsidRPr="00D626AB">
        <w:rPr>
          <w:rFonts w:ascii="Times New Roman" w:hAnsi="Times New Roman" w:cs="Times New Roman"/>
          <w:color w:val="000000" w:themeColor="text1"/>
          <w:sz w:val="22"/>
          <w:szCs w:val="22"/>
        </w:rPr>
        <w:br/>
        <w:t>• Vergi, SGK ve oda kayıtlarının oluşturulması ile defter tasdik işlemlerinin yapılması.</w:t>
      </w:r>
    </w:p>
    <w:p w14:paraId="077F868A"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Bu aşamaların tamamlanmasının ardından şirket, tescil tarihi itibarıyla tüzel kişilik kazanmakta ve ticari faaliyetlerine hukuken geçerli biçimde başlamaktadır.</w:t>
      </w:r>
    </w:p>
    <w:p w14:paraId="42590C3D"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Sonuç ve Değerlendirme</w:t>
      </w:r>
    </w:p>
    <w:p w14:paraId="6D374B29"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Şirket kuruluşu, ekonomik bir karar olmanın yanında tüzel kişiliğin doğduğu bir hukuki süreci temsil etmektedir.</w:t>
      </w:r>
    </w:p>
    <w:p w14:paraId="7D4B5D46"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Kuruluş aşamasında gösterilen dikkat, şirketin ilerleyen dönemlerdeki hukuki güvenilirliğini, mali istikrarını ve kurumsal sürdürülebilirliğini doğrudan etkilemektedir.</w:t>
      </w:r>
    </w:p>
    <w:p w14:paraId="4F465086"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lastRenderedPageBreak/>
        <w:t>Doğru şirket türünün belirlenmesi, tescil ve unvan yükümlülüklerinin eksiksiz yerine getirilmesi ile defter düzeninin kanuna uygun biçimde kurulması, kurumsal yapının sağlam temellere oturmasını sağlamaktadır.</w:t>
      </w:r>
    </w:p>
    <w:p w14:paraId="578BF587"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Bu yaklaşım, şirketin ticari ilişkilerinde şeffaflık, güven ve süreklilik elde etmesine katkı sunmaktadır.</w:t>
      </w:r>
    </w:p>
    <w:p w14:paraId="2F571582" w14:textId="77777777"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Kuruluş sürecinde profesyonel hukuki danışmanlık alınması, hem mevzuata tam uyumun sağlanmasına hem de ilerleyen dönemlerde karşılaşılabilecek risklerin önlenmesine hizmet etmektedir.</w:t>
      </w:r>
    </w:p>
    <w:p w14:paraId="312CD60E" w14:textId="05096524" w:rsidR="00152B10" w:rsidRPr="00D626AB" w:rsidRDefault="00152B10" w:rsidP="00152B1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Bu nedenle, doğru hukuki planlama ve uzman desteği, şirketlerin uzun vadede güvenli, sürdürülebilir ve saygın bir ticari yapı kurmalarını mümkün kılmaktadır.</w:t>
      </w:r>
    </w:p>
    <w:p w14:paraId="0585FF40" w14:textId="77777777" w:rsidR="00152B10" w:rsidRPr="00D626AB" w:rsidRDefault="00152B10" w:rsidP="00152B10">
      <w:pPr>
        <w:pStyle w:val="ListeParagraf"/>
        <w:spacing w:after="0"/>
        <w:ind w:left="0"/>
        <w:jc w:val="both"/>
        <w:rPr>
          <w:rFonts w:ascii="Times New Roman" w:hAnsi="Times New Roman" w:cs="Times New Roman"/>
          <w:b/>
          <w:bCs/>
          <w:sz w:val="22"/>
          <w:szCs w:val="22"/>
        </w:rPr>
      </w:pPr>
    </w:p>
    <w:p w14:paraId="46932049" w14:textId="53DBE4EF" w:rsidR="00152B10" w:rsidRPr="00D626AB" w:rsidRDefault="00C17D27" w:rsidP="00C17D27">
      <w:pPr>
        <w:pStyle w:val="ListeParagraf"/>
        <w:spacing w:after="0"/>
        <w:ind w:left="0"/>
        <w:jc w:val="right"/>
        <w:rPr>
          <w:rFonts w:ascii="Times New Roman" w:hAnsi="Times New Roman" w:cs="Times New Roman"/>
          <w:b/>
          <w:bCs/>
          <w:sz w:val="22"/>
          <w:szCs w:val="22"/>
        </w:rPr>
      </w:pPr>
      <w:r>
        <w:rPr>
          <w:rFonts w:ascii="Times New Roman" w:hAnsi="Times New Roman" w:cs="Times New Roman"/>
          <w:b/>
          <w:bCs/>
          <w:sz w:val="22"/>
          <w:szCs w:val="22"/>
        </w:rPr>
        <w:t>KASIM 2025</w:t>
      </w:r>
    </w:p>
    <w:p w14:paraId="1CC7B112" w14:textId="7E56F43B" w:rsidR="001527A2" w:rsidRPr="00D626AB" w:rsidRDefault="001527A2" w:rsidP="001527A2">
      <w:pPr>
        <w:pStyle w:val="ListeParagraf"/>
        <w:numPr>
          <w:ilvl w:val="0"/>
          <w:numId w:val="1"/>
        </w:numPr>
        <w:spacing w:after="0"/>
        <w:ind w:left="0"/>
        <w:jc w:val="both"/>
        <w:rPr>
          <w:rFonts w:ascii="Times New Roman" w:hAnsi="Times New Roman" w:cs="Times New Roman"/>
          <w:b/>
          <w:bCs/>
          <w:sz w:val="22"/>
          <w:szCs w:val="22"/>
        </w:rPr>
      </w:pPr>
      <w:r w:rsidRPr="00D626AB">
        <w:rPr>
          <w:rFonts w:ascii="Times New Roman" w:hAnsi="Times New Roman" w:cs="Times New Roman"/>
          <w:b/>
          <w:bCs/>
          <w:sz w:val="22"/>
          <w:szCs w:val="22"/>
        </w:rPr>
        <w:t>İŞ DÜNYASINDA HUKUK SERİSİ #2 – İŞ ORTAKLIĞI KURARKEN HUKUKİ AÇIDAN NELERE DİKKAT ETMELİ?</w:t>
      </w:r>
    </w:p>
    <w:p w14:paraId="5FBA584F" w14:textId="77777777" w:rsidR="00152B10" w:rsidRPr="00D626AB" w:rsidRDefault="00152B10" w:rsidP="00152B10">
      <w:pPr>
        <w:spacing w:after="0"/>
        <w:jc w:val="both"/>
        <w:rPr>
          <w:rFonts w:ascii="Times New Roman" w:hAnsi="Times New Roman" w:cs="Times New Roman"/>
          <w:b/>
          <w:bCs/>
          <w:sz w:val="22"/>
          <w:szCs w:val="22"/>
        </w:rPr>
      </w:pPr>
    </w:p>
    <w:p w14:paraId="18325AF7"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İş Ortaklıklarında Hukuki Yol Haritası</w:t>
      </w:r>
    </w:p>
    <w:p w14:paraId="5ED872CC" w14:textId="77777777" w:rsidR="007B5F8B" w:rsidRPr="00D626AB" w:rsidRDefault="007B5F8B" w:rsidP="007B5F8B">
      <w:pPr>
        <w:numPr>
          <w:ilvl w:val="0"/>
          <w:numId w:val="2"/>
        </w:num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Ortaklık Türünü Doğru Belirlemek</w:t>
      </w:r>
    </w:p>
    <w:p w14:paraId="30B8D760" w14:textId="77777777" w:rsidR="007B5F8B" w:rsidRPr="00D626AB" w:rsidRDefault="007B5F8B" w:rsidP="007B5F8B">
      <w:pPr>
        <w:numPr>
          <w:ilvl w:val="0"/>
          <w:numId w:val="2"/>
        </w:num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Ortaklık Sözleşmesini Hazırlamak</w:t>
      </w:r>
    </w:p>
    <w:p w14:paraId="3E2B3A7E" w14:textId="77777777" w:rsidR="007B5F8B" w:rsidRPr="00D626AB" w:rsidRDefault="007B5F8B" w:rsidP="007B5F8B">
      <w:pPr>
        <w:numPr>
          <w:ilvl w:val="0"/>
          <w:numId w:val="2"/>
        </w:num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Hak ve Yükümlülükleri Netleştirmek</w:t>
      </w:r>
    </w:p>
    <w:p w14:paraId="1B6FCB98" w14:textId="77777777" w:rsidR="007B5F8B" w:rsidRPr="00D626AB" w:rsidRDefault="007B5F8B" w:rsidP="007B5F8B">
      <w:pPr>
        <w:numPr>
          <w:ilvl w:val="0"/>
          <w:numId w:val="2"/>
        </w:num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Rekabet Yasağı ve Gizlilik Maddelerini Tanımlamak</w:t>
      </w:r>
    </w:p>
    <w:p w14:paraId="2AE23533" w14:textId="77777777" w:rsidR="007B5F8B" w:rsidRPr="00D626AB" w:rsidRDefault="007B5F8B" w:rsidP="007B5F8B">
      <w:pPr>
        <w:numPr>
          <w:ilvl w:val="0"/>
          <w:numId w:val="2"/>
        </w:num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Uyuşmazlık Çözüm Mekanizmasını Belirlemek</w:t>
      </w:r>
    </w:p>
    <w:p w14:paraId="431FBB18"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1. Ortaklıkların Hukuki Niteliği</w:t>
      </w:r>
    </w:p>
    <w:p w14:paraId="33597231"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İş ortaklıkları, Türk Borçlar Kanunu (“TBK”) kapsamında “adi ortaklık” olarak değerlendirilmektedir ve bir sözleşme ilişkisine dayanmaktadır.</w:t>
      </w:r>
    </w:p>
    <w:p w14:paraId="097E9FEA"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Tarafların belirli bir ekonomik amaç doğrultusunda emek, sermaye veya bilgi birikimlerini birleştirmesiyle ortaya çıkan bu yapı, TBK’nın 620-645. maddeleri çerçevesinde düzenlenmektedir.</w:t>
      </w:r>
    </w:p>
    <w:p w14:paraId="59C98CE1"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Ancak söz konusu hükümler, uygulamada yeterli ayrıntıyı sunmamaktadır.</w:t>
      </w:r>
    </w:p>
    <w:p w14:paraId="242E6869"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Bu nedenle her ortaklık, yazılı bir sözleşmeyle kurulmalı; taraf yükümlülükleri, yönetim yapısı ve ayrılma koşulları açık biçimde tanımlanmalıdır.</w:t>
      </w:r>
    </w:p>
    <w:p w14:paraId="2368415D"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2. Ortaklık Türünün Belirlenmesi</w:t>
      </w:r>
    </w:p>
    <w:p w14:paraId="71A04F9E"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Ortaklık yapısının seçimi, tarafların risk, vergi ve sorumluluk dengelerini doğrudan etkilemektedir.</w:t>
      </w:r>
    </w:p>
    <w:p w14:paraId="2E1B6180"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Adi Ortaklık: Kurulumu basit olmakla birlikte, ortaklar tüm borçlardan şahsen ve müteselsilen sorumludur.</w:t>
      </w:r>
    </w:p>
    <w:p w14:paraId="6B784423"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Limited Şirket: Ortakların sorumluluğu taahhüt ettikleri sermaye tutarıyla sınırlıdır.</w:t>
      </w:r>
    </w:p>
    <w:p w14:paraId="7FDAEE58"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Anonim Şirket: Yönetim kurulu üyeleri, görev alanlarıyla sınırlı sorumluluk taşımaktadır ve pay devri daha esnek şekilde gerçekleşmektedir.</w:t>
      </w:r>
    </w:p>
    <w:p w14:paraId="0CF69B16"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Yanlış yapı seçimi, ilerleyen dönemlerde kâr paylaşımı, pay devri veya tasfiye aşamalarında uyuşmazlıklara yol açabilmektedir.</w:t>
      </w:r>
    </w:p>
    <w:p w14:paraId="6BA84ADE"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lastRenderedPageBreak/>
        <w:t>3. Ortaklık Sözleşmesinin Kapsamı</w:t>
      </w:r>
    </w:p>
    <w:p w14:paraId="324D2979"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Ortaklık sözleşmesi, taraflar arasındaki ilişkinin hukuki temelini oluşturmaktadır.</w:t>
      </w:r>
    </w:p>
    <w:p w14:paraId="553CE67D"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Bu belge, ortaklık sürecinin sağlıklı yürütülmesi açısından büyük önem taşımaktadır.</w:t>
      </w:r>
    </w:p>
    <w:p w14:paraId="1C6339F4"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Aşağıdaki hususların sözleşmede açık biçimde düzenlenmesi gerekmektedir:</w:t>
      </w:r>
    </w:p>
    <w:p w14:paraId="25B318BD" w14:textId="77777777" w:rsidR="007B5F8B" w:rsidRPr="00D626AB" w:rsidRDefault="007B5F8B" w:rsidP="007B5F8B">
      <w:pPr>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Yönetim yetkisinin dağılımı ve temsil kuralları,</w:t>
      </w:r>
      <w:r w:rsidRPr="00D626AB">
        <w:rPr>
          <w:rFonts w:ascii="Times New Roman" w:hAnsi="Times New Roman" w:cs="Times New Roman"/>
          <w:color w:val="000000" w:themeColor="text1"/>
          <w:sz w:val="22"/>
          <w:szCs w:val="22"/>
        </w:rPr>
        <w:br/>
        <w:t>Kâr ve zarar paylaşım oranları,</w:t>
      </w:r>
      <w:r w:rsidRPr="00D626AB">
        <w:rPr>
          <w:rFonts w:ascii="Times New Roman" w:hAnsi="Times New Roman" w:cs="Times New Roman"/>
          <w:color w:val="000000" w:themeColor="text1"/>
          <w:sz w:val="22"/>
          <w:szCs w:val="22"/>
        </w:rPr>
        <w:br/>
        <w:t>Yeni ortak alınması veya pay devri koşulları,</w:t>
      </w:r>
      <w:r w:rsidRPr="00D626AB">
        <w:rPr>
          <w:rFonts w:ascii="Times New Roman" w:hAnsi="Times New Roman" w:cs="Times New Roman"/>
          <w:color w:val="000000" w:themeColor="text1"/>
          <w:sz w:val="22"/>
          <w:szCs w:val="22"/>
        </w:rPr>
        <w:br/>
        <w:t>Ayrılan ortağın hakları, rekabet yasağı ve gizlilik yükümlülüğü,</w:t>
      </w:r>
      <w:r w:rsidRPr="00D626AB">
        <w:rPr>
          <w:rFonts w:ascii="Times New Roman" w:hAnsi="Times New Roman" w:cs="Times New Roman"/>
          <w:color w:val="000000" w:themeColor="text1"/>
          <w:sz w:val="22"/>
          <w:szCs w:val="22"/>
        </w:rPr>
        <w:br/>
        <w:t>Uyuşmazlık çözüm yolları.</w:t>
      </w:r>
    </w:p>
    <w:p w14:paraId="62C8CEFE"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Eksik düzenlenen hükümler, ortaklık ilişkisini zayıflatmakta ve iş birliğinin sürekliliğini tehlikeye atmaktadır.</w:t>
      </w:r>
    </w:p>
    <w:p w14:paraId="4CB9D94A"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4. Rekabet Yasağı ve Gizlilik Yükümlülükler</w:t>
      </w:r>
    </w:p>
    <w:p w14:paraId="10D1BEC2"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Ortaklardan birinin ortaklıktan ayrılması hâlinde, benzer bir sektörde faaliyet göstermesi veya ticari sırları kullanması ciddi riskler doğurmaktadır.</w:t>
      </w:r>
    </w:p>
    <w:p w14:paraId="598FC7E8"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Bu nedenle rekabet yasağı ve gizlilik yükümlülükleri, sözleşmede ayrıntılı biçimde düzenlenmelidir.</w:t>
      </w:r>
    </w:p>
    <w:p w14:paraId="7BF4E84B"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Rekabet yasağının süresi, kapsamı ve coğrafi sınırları makul şekilde belirlenmediği takdirde geçerliliği tartışmalı hâle gelebilmektedir.</w:t>
      </w:r>
    </w:p>
    <w:p w14:paraId="7D807D5A"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Gizlilik yükümlülüğü ise ortaklık sona erse dahi belirli bir süre yürürlükte kalacak biçimde düzenlenmelidir.</w:t>
      </w:r>
    </w:p>
    <w:p w14:paraId="4555EC7E"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5. Uyuşmazlık Çözüm Mekanizmaları</w:t>
      </w:r>
    </w:p>
    <w:p w14:paraId="0C5E6EED"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Her ortaklık ilişkisi, zaman içerisinde farklı görüşlerin ortaya çıkabileceği bir dinamiğe sahiptir.</w:t>
      </w:r>
    </w:p>
    <w:p w14:paraId="1DD222B6"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Bu nedenle uyuşmazlık çözüm yönteminin önceden belirlenmesi gerekmektedir.</w:t>
      </w:r>
    </w:p>
    <w:p w14:paraId="218A64D4"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Taraflar, sözleşmede yetkili mahkeme, tahkim veya arabuluculuk hükümlerini açık biçimde belirlemelidir.</w:t>
      </w:r>
    </w:p>
    <w:p w14:paraId="554AE225"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Uluslararası nitelikteki ortaklıklarda uygulanacak hukuk ve yargı yeri konularının belirsiz bırakılması, süreçleri karmaşıklaştırmaktadır.</w:t>
      </w:r>
    </w:p>
    <w:p w14:paraId="34D28A12"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Sonuç</w:t>
      </w:r>
    </w:p>
    <w:p w14:paraId="0C07AC35"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Bir iş ortaklığı, ekonomik bir iş birliği kadar hukuki bir yükümlülük niteliği taşımaktadır.</w:t>
      </w:r>
    </w:p>
    <w:p w14:paraId="1D6634AA"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Başarılı ve sürdürülebilir ortaklıklar, güven ilişkisi kadar sağlam bir sözleşme altyapısına dayanmaktadır.</w:t>
      </w:r>
    </w:p>
    <w:p w14:paraId="74FF1534" w14:textId="77777777" w:rsidR="007B5F8B" w:rsidRPr="00D626AB" w:rsidRDefault="007B5F8B" w:rsidP="007B5F8B">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Ortaklık sürecinin her aşamasında, uzman hukuki destek alınması; hem tarafların haklarının korunmasını hem de iş birliğinin uzun ömürlü olmasını sağlamaktadır.</w:t>
      </w:r>
    </w:p>
    <w:p w14:paraId="03067F59" w14:textId="77777777" w:rsidR="007B5F8B" w:rsidRPr="00D626AB" w:rsidRDefault="007B5F8B" w:rsidP="00152B10">
      <w:pPr>
        <w:spacing w:after="0"/>
        <w:jc w:val="both"/>
        <w:rPr>
          <w:rFonts w:ascii="Times New Roman" w:hAnsi="Times New Roman" w:cs="Times New Roman"/>
          <w:b/>
          <w:bCs/>
          <w:sz w:val="22"/>
          <w:szCs w:val="22"/>
        </w:rPr>
      </w:pPr>
    </w:p>
    <w:p w14:paraId="261EF92C" w14:textId="77777777" w:rsidR="007B5F8B" w:rsidRPr="00D626AB" w:rsidRDefault="007B5F8B" w:rsidP="00152B10">
      <w:pPr>
        <w:spacing w:after="0"/>
        <w:jc w:val="both"/>
        <w:rPr>
          <w:rFonts w:ascii="Times New Roman" w:hAnsi="Times New Roman" w:cs="Times New Roman"/>
          <w:b/>
          <w:bCs/>
          <w:sz w:val="22"/>
          <w:szCs w:val="22"/>
        </w:rPr>
      </w:pPr>
    </w:p>
    <w:p w14:paraId="3C6F62E9" w14:textId="77777777" w:rsidR="007B5F8B" w:rsidRPr="00D626AB" w:rsidRDefault="007B5F8B" w:rsidP="00152B10">
      <w:pPr>
        <w:spacing w:after="0"/>
        <w:jc w:val="both"/>
        <w:rPr>
          <w:rFonts w:ascii="Times New Roman" w:hAnsi="Times New Roman" w:cs="Times New Roman"/>
          <w:b/>
          <w:bCs/>
          <w:sz w:val="22"/>
          <w:szCs w:val="22"/>
        </w:rPr>
      </w:pPr>
    </w:p>
    <w:p w14:paraId="5CF03101" w14:textId="77777777" w:rsidR="00152B10" w:rsidRPr="00D626AB" w:rsidRDefault="00152B10" w:rsidP="00152B10">
      <w:pPr>
        <w:spacing w:after="0"/>
        <w:jc w:val="both"/>
        <w:rPr>
          <w:rFonts w:ascii="Times New Roman" w:hAnsi="Times New Roman" w:cs="Times New Roman"/>
          <w:b/>
          <w:bCs/>
          <w:sz w:val="22"/>
          <w:szCs w:val="22"/>
        </w:rPr>
      </w:pPr>
    </w:p>
    <w:p w14:paraId="000A116F" w14:textId="77777777" w:rsidR="00C17D27" w:rsidRDefault="00C17D27" w:rsidP="00C17D27">
      <w:pPr>
        <w:pStyle w:val="ListeParagraf"/>
        <w:spacing w:after="0"/>
        <w:ind w:left="0"/>
        <w:jc w:val="both"/>
        <w:rPr>
          <w:rFonts w:ascii="Times New Roman" w:hAnsi="Times New Roman" w:cs="Times New Roman"/>
          <w:b/>
          <w:bCs/>
          <w:sz w:val="22"/>
          <w:szCs w:val="22"/>
        </w:rPr>
      </w:pPr>
    </w:p>
    <w:p w14:paraId="74D484EB" w14:textId="4E29EF75" w:rsidR="00C17D27" w:rsidRDefault="00C17D27" w:rsidP="00C17D27">
      <w:pPr>
        <w:pStyle w:val="ListeParagraf"/>
        <w:spacing w:after="0"/>
        <w:ind w:left="0"/>
        <w:jc w:val="right"/>
        <w:rPr>
          <w:rFonts w:ascii="Times New Roman" w:hAnsi="Times New Roman" w:cs="Times New Roman"/>
          <w:b/>
          <w:bCs/>
          <w:sz w:val="22"/>
          <w:szCs w:val="22"/>
        </w:rPr>
      </w:pPr>
      <w:r>
        <w:rPr>
          <w:rFonts w:ascii="Times New Roman" w:hAnsi="Times New Roman" w:cs="Times New Roman"/>
          <w:b/>
          <w:bCs/>
          <w:sz w:val="22"/>
          <w:szCs w:val="22"/>
        </w:rPr>
        <w:lastRenderedPageBreak/>
        <w:t>ARALIK 2025</w:t>
      </w:r>
    </w:p>
    <w:p w14:paraId="33E0C8D2" w14:textId="35EA7EAA" w:rsidR="001527A2" w:rsidRPr="00D626AB" w:rsidRDefault="001527A2" w:rsidP="001527A2">
      <w:pPr>
        <w:pStyle w:val="ListeParagraf"/>
        <w:numPr>
          <w:ilvl w:val="0"/>
          <w:numId w:val="1"/>
        </w:numPr>
        <w:spacing w:after="0"/>
        <w:ind w:left="0"/>
        <w:jc w:val="both"/>
        <w:rPr>
          <w:rFonts w:ascii="Times New Roman" w:hAnsi="Times New Roman" w:cs="Times New Roman"/>
          <w:b/>
          <w:bCs/>
          <w:sz w:val="22"/>
          <w:szCs w:val="22"/>
        </w:rPr>
      </w:pPr>
      <w:r w:rsidRPr="00D626AB">
        <w:rPr>
          <w:rFonts w:ascii="Times New Roman" w:hAnsi="Times New Roman" w:cs="Times New Roman"/>
          <w:b/>
          <w:bCs/>
          <w:sz w:val="22"/>
          <w:szCs w:val="22"/>
        </w:rPr>
        <w:t>İŞ DÜNYASINDA HUKUK SERİSİ #3 – YÖNETİM KURULU VE MÜDÜRLERİN HUKUKİ SORUMLULUĞU</w:t>
      </w:r>
    </w:p>
    <w:p w14:paraId="33EE0460" w14:textId="77777777" w:rsidR="005B0D60" w:rsidRPr="00D626AB" w:rsidRDefault="005B0D60" w:rsidP="005B0D60">
      <w:pPr>
        <w:spacing w:after="0"/>
        <w:jc w:val="both"/>
        <w:rPr>
          <w:rFonts w:ascii="Times New Roman" w:hAnsi="Times New Roman" w:cs="Times New Roman"/>
          <w:b/>
          <w:bCs/>
          <w:sz w:val="22"/>
          <w:szCs w:val="22"/>
        </w:rPr>
      </w:pPr>
    </w:p>
    <w:p w14:paraId="609F09C0"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Yönetim kurulu üyeleri ile müdürler, Türk Ticaret Kanunu (“TTK”) kapsamında şirketi yönetmekte ve temsil etmektedir.</w:t>
      </w:r>
    </w:p>
    <w:p w14:paraId="5045EE67"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Bu görevler, karar alma yetkisinin yanında gözetim ve denetim yükümlülüğünü de içermektedir.</w:t>
      </w:r>
    </w:p>
    <w:p w14:paraId="25D7D596"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Her ihmal ve her eksik denetim, hukuki sorumluluğun doğmasına neden olmaktadır.</w:t>
      </w:r>
    </w:p>
    <w:p w14:paraId="6429B21B"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Yönetim Kurulunun TTK’daki Konumu</w:t>
      </w:r>
    </w:p>
    <w:p w14:paraId="2EA2B51D"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Yönetim kurulu, anonim şirketin zorunlu organı olarak faaliyet göstermektedir.</w:t>
      </w:r>
    </w:p>
    <w:p w14:paraId="330AE451"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Stratejik kararlar, temsil yetkisinin düzenlenmesi, finansal süreçlerin yönetimi ve iç kontrol mekanizmalarının oluşturulması yönetim kurulunun görev alanında bulunmaktadır.</w:t>
      </w:r>
    </w:p>
    <w:p w14:paraId="43E5B58B"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Genel kurulun devredilemeyen yetkileri dışındaki tüm yönetim işlevleri yönetim kurulunca yürütülmektedir.</w:t>
      </w:r>
    </w:p>
    <w:p w14:paraId="5E725F39"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Yönetim Kurulu Üyelerinin Şahsi Sorumluluğu</w:t>
      </w:r>
    </w:p>
    <w:p w14:paraId="64BC03B8"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Yönetim kurulu üyeleri, görevlerini yerine getirirken kusurlu davranmaları hâlinde şahsen sorumlu tutulmaktadır.</w:t>
      </w:r>
    </w:p>
    <w:p w14:paraId="1BE786E8"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Yanlış karar, eksik denetim, uygunsuz raporlama veya zararın fark edilmesine rağmen önlem alınmaması kişisel sorumluluğu doğurmaktadır.</w:t>
      </w:r>
    </w:p>
    <w:p w14:paraId="1C2F3CB0"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Bu sorumluluk, şirket tüzel kişiliğinden bağımsız şekilde ortaya çıkmaktadır.</w:t>
      </w:r>
    </w:p>
    <w:p w14:paraId="5B37ED93"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“Şirketin Kararıydı” Savunmasının Yetersizliği</w:t>
      </w:r>
    </w:p>
    <w:p w14:paraId="0BA1FEBE"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Yönetici pozisyonu, bilgi alma ve süreci takip etme yükümlülüğünü içermektedir.</w:t>
      </w:r>
    </w:p>
    <w:p w14:paraId="60B6666F"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Bilgi akışının izlenmemesi, belgelerin incelenmemesi veya denetimin yapılmaması, kararın şirket tarafından alınmış olmasına rağmen sorumluluğu ortadan kaldırmamaktadır.</w:t>
      </w:r>
    </w:p>
    <w:p w14:paraId="50849EFE"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Hukuki açıdan yöneticinin denetim görevini yerine getirmemesi, geçerli bir savunma olarak kabul edilmemektedir.</w:t>
      </w:r>
    </w:p>
    <w:p w14:paraId="0AD45AFB"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Özen ve Sadakat Yükümlülüğü</w:t>
      </w:r>
    </w:p>
    <w:p w14:paraId="0FB30775"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Özen yükümlülüğü, yöneticinin makul seviyede dikkat ve ihtimamla hareket etmesini gerektirmektedir.</w:t>
      </w:r>
    </w:p>
    <w:p w14:paraId="6231D6CA"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Sadakat yükümlülüğü, şirket menfaatinin her koşulda korunmasını zorunlu kılmaktadır.</w:t>
      </w:r>
    </w:p>
    <w:p w14:paraId="2D09E192"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Bu yükümlülüklere aykırı her davranış, yöneticinin kişisel sorumluluğunu doğurmaktadır.</w:t>
      </w:r>
    </w:p>
    <w:p w14:paraId="6F1F5DE0"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Müdürlerin TTK’daki Yeri</w:t>
      </w:r>
    </w:p>
    <w:p w14:paraId="2161514A"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Limited şirketlerde yönetim ve temsil görevi müdürler tarafından yürütülmektedir.</w:t>
      </w:r>
    </w:p>
    <w:p w14:paraId="2D78418D"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Müdürler, operasyon süreçlerini yönetmekte ve şirketi dış ilişkilerde temsil etmektedir.</w:t>
      </w:r>
    </w:p>
    <w:p w14:paraId="79778481"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Ortaklar kurulunun devredilemeyen konularında müdürlerin karar alma yetkisi bulunmamaktadır.</w:t>
      </w:r>
    </w:p>
    <w:p w14:paraId="7923313C"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Müdürlerin Sorumluluk Çerçevesi</w:t>
      </w:r>
    </w:p>
    <w:p w14:paraId="5624CC0C"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lastRenderedPageBreak/>
        <w:t>Müdürler, operasyonel süreçlerdeki her ihmalden, eksik denetimden ve yanlış işlemden sorumlu tutulmaktadır.</w:t>
      </w:r>
    </w:p>
    <w:p w14:paraId="5CB4CEEF"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Sözleşme süreçlerinin yanlış yönetilmesi, finansal hatalar veya usulsüzlüklerin fark edilmemesi hukuki sorumluluk doğurmaktadır.</w:t>
      </w:r>
    </w:p>
    <w:p w14:paraId="1F739A37"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Görev dağılımı yapılmış olsa bile gözetim yükümlülüğü devam etmektedir.</w:t>
      </w:r>
    </w:p>
    <w:p w14:paraId="30EFFF55"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b/>
          <w:bCs/>
          <w:color w:val="000000" w:themeColor="text1"/>
          <w:sz w:val="22"/>
          <w:szCs w:val="22"/>
        </w:rPr>
        <w:t>Sonuç</w:t>
      </w:r>
    </w:p>
    <w:p w14:paraId="02232112"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Yönetim kurulu üyeleri ile müdürlerin sorumluluk alanı, imza yetkisinden daha geniş bir yapıyı ifade etmektedir.</w:t>
      </w:r>
    </w:p>
    <w:p w14:paraId="18B86411"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Gözetim, denetim, bilgi alma ve süreç yönetimi görevlerinin tümü hukuki sorumluluğun temel unsuru olarak kabul edilmektedir.</w:t>
      </w:r>
    </w:p>
    <w:p w14:paraId="74E3A050" w14:textId="77777777" w:rsidR="005B0D60" w:rsidRPr="00D626AB" w:rsidRDefault="005B0D60" w:rsidP="005B0D60">
      <w:pPr>
        <w:jc w:val="both"/>
        <w:rPr>
          <w:rFonts w:ascii="Times New Roman" w:hAnsi="Times New Roman" w:cs="Times New Roman"/>
          <w:color w:val="000000" w:themeColor="text1"/>
          <w:sz w:val="22"/>
          <w:szCs w:val="22"/>
        </w:rPr>
      </w:pPr>
      <w:r w:rsidRPr="00D626AB">
        <w:rPr>
          <w:rFonts w:ascii="Times New Roman" w:hAnsi="Times New Roman" w:cs="Times New Roman"/>
          <w:color w:val="000000" w:themeColor="text1"/>
          <w:sz w:val="22"/>
          <w:szCs w:val="22"/>
        </w:rPr>
        <w:t>Bu nedenle süreçlerin kayıtlı, şeffaf ve denetlenebilir biçimde yürütülmesi riskleri azaltmaktadır.</w:t>
      </w:r>
    </w:p>
    <w:p w14:paraId="19EF0CAC" w14:textId="77777777" w:rsidR="005B0D60" w:rsidRPr="00D626AB" w:rsidRDefault="005B0D60" w:rsidP="005B0D60">
      <w:pPr>
        <w:spacing w:after="0"/>
        <w:jc w:val="both"/>
        <w:rPr>
          <w:rFonts w:ascii="Times New Roman" w:hAnsi="Times New Roman" w:cs="Times New Roman"/>
          <w:b/>
          <w:bCs/>
          <w:sz w:val="22"/>
          <w:szCs w:val="22"/>
        </w:rPr>
      </w:pPr>
    </w:p>
    <w:p w14:paraId="490D3416" w14:textId="77777777" w:rsidR="005B0D60" w:rsidRPr="00D626AB" w:rsidRDefault="005B0D60" w:rsidP="005B0D60">
      <w:pPr>
        <w:spacing w:after="0"/>
        <w:jc w:val="both"/>
        <w:rPr>
          <w:rFonts w:ascii="Times New Roman" w:hAnsi="Times New Roman" w:cs="Times New Roman"/>
          <w:b/>
          <w:bCs/>
          <w:sz w:val="22"/>
          <w:szCs w:val="22"/>
        </w:rPr>
      </w:pPr>
    </w:p>
    <w:p w14:paraId="3CBA1D02" w14:textId="6E64DEAE" w:rsidR="005B0D60" w:rsidRPr="00D626AB" w:rsidRDefault="008E3CC5" w:rsidP="008E3CC5">
      <w:pPr>
        <w:spacing w:after="0"/>
        <w:jc w:val="right"/>
        <w:rPr>
          <w:rFonts w:ascii="Times New Roman" w:hAnsi="Times New Roman" w:cs="Times New Roman"/>
          <w:b/>
          <w:bCs/>
          <w:sz w:val="22"/>
          <w:szCs w:val="22"/>
        </w:rPr>
      </w:pPr>
      <w:r>
        <w:rPr>
          <w:rFonts w:ascii="Times New Roman" w:hAnsi="Times New Roman" w:cs="Times New Roman"/>
          <w:b/>
          <w:bCs/>
          <w:sz w:val="22"/>
          <w:szCs w:val="22"/>
        </w:rPr>
        <w:t>OCAK 2026</w:t>
      </w:r>
    </w:p>
    <w:p w14:paraId="5184EC7E" w14:textId="77777777" w:rsidR="001527A2" w:rsidRPr="00D626AB" w:rsidRDefault="001527A2" w:rsidP="001527A2">
      <w:pPr>
        <w:pStyle w:val="ListeParagraf"/>
        <w:numPr>
          <w:ilvl w:val="0"/>
          <w:numId w:val="1"/>
        </w:numPr>
        <w:spacing w:after="0"/>
        <w:ind w:left="0"/>
        <w:jc w:val="both"/>
        <w:rPr>
          <w:rFonts w:ascii="Times New Roman" w:hAnsi="Times New Roman" w:cs="Times New Roman"/>
          <w:b/>
          <w:bCs/>
          <w:sz w:val="22"/>
          <w:szCs w:val="22"/>
        </w:rPr>
      </w:pPr>
      <w:r w:rsidRPr="00D626AB">
        <w:rPr>
          <w:rFonts w:ascii="Times New Roman" w:hAnsi="Times New Roman" w:cs="Times New Roman"/>
          <w:b/>
          <w:bCs/>
          <w:sz w:val="22"/>
          <w:szCs w:val="22"/>
        </w:rPr>
        <w:t>HOW DOES THE BREAKDOWN OF INTERNAL AUTHORİTY BALANCE CREATE LEGAL PROBLEMS?</w:t>
      </w:r>
    </w:p>
    <w:p w14:paraId="4DB8C508" w14:textId="77777777" w:rsidR="007908AD" w:rsidRPr="00D626AB" w:rsidRDefault="007908AD" w:rsidP="007908AD">
      <w:pPr>
        <w:spacing w:after="0"/>
        <w:jc w:val="both"/>
        <w:rPr>
          <w:rFonts w:ascii="Times New Roman" w:hAnsi="Times New Roman" w:cs="Times New Roman"/>
          <w:b/>
          <w:bCs/>
          <w:sz w:val="22"/>
          <w:szCs w:val="22"/>
        </w:rPr>
      </w:pPr>
    </w:p>
    <w:p w14:paraId="5F6EFE4F" w14:textId="77777777" w:rsidR="007908AD" w:rsidRPr="00D626AB" w:rsidRDefault="007908AD" w:rsidP="007908AD">
      <w:pPr>
        <w:spacing w:before="240" w:after="240"/>
        <w:jc w:val="both"/>
        <w:rPr>
          <w:rFonts w:ascii="Times New Roman" w:eastAsia="Calibri" w:hAnsi="Times New Roman" w:cs="Times New Roman"/>
          <w:sz w:val="22"/>
          <w:szCs w:val="22"/>
          <w:lang w:val="en-US"/>
        </w:rPr>
      </w:pPr>
      <w:r w:rsidRPr="00D626AB">
        <w:rPr>
          <w:rFonts w:ascii="Times New Roman" w:eastAsia="Calibri" w:hAnsi="Times New Roman" w:cs="Times New Roman"/>
          <w:sz w:val="22"/>
          <w:szCs w:val="22"/>
          <w:lang w:val="en-US"/>
        </w:rPr>
        <w:t>A company’s internal authority structure is not merely a matter of organizational preference; it is a fundamental element that determines how the company is legally represented and by which transactions it becomes legally bound. When the limits of authority are not clearly defined, or when there is a mismatch between written rules and actual practice, legal risks begin to arise rapidly. In practice, many commercial and corporate disputes stem from this uncertainty regarding who holds authority and how that authority is exercised.</w:t>
      </w:r>
    </w:p>
    <w:p w14:paraId="401F0633" w14:textId="77777777" w:rsidR="007908AD" w:rsidRPr="00D626AB" w:rsidRDefault="007908AD" w:rsidP="007908AD">
      <w:pPr>
        <w:pStyle w:val="Balk3"/>
        <w:spacing w:before="281" w:after="281"/>
        <w:jc w:val="both"/>
        <w:rPr>
          <w:rFonts w:ascii="Times New Roman" w:eastAsia="Calibri" w:hAnsi="Times New Roman" w:cs="Times New Roman"/>
          <w:b/>
          <w:bCs/>
          <w:color w:val="auto"/>
          <w:sz w:val="22"/>
          <w:szCs w:val="22"/>
        </w:rPr>
      </w:pPr>
      <w:r w:rsidRPr="00D626AB">
        <w:rPr>
          <w:rFonts w:ascii="Times New Roman" w:eastAsia="Calibri" w:hAnsi="Times New Roman" w:cs="Times New Roman"/>
          <w:b/>
          <w:bCs/>
          <w:color w:val="auto"/>
          <w:sz w:val="22"/>
          <w:szCs w:val="22"/>
        </w:rPr>
        <w:t>Weakening of the Authority Structure and Binding Transactions</w:t>
      </w:r>
    </w:p>
    <w:p w14:paraId="013DA2C8" w14:textId="77777777" w:rsidR="007908AD" w:rsidRPr="00D626AB" w:rsidRDefault="007908AD" w:rsidP="007908AD">
      <w:pPr>
        <w:spacing w:before="240" w:after="240"/>
        <w:jc w:val="both"/>
        <w:rPr>
          <w:rFonts w:ascii="Times New Roman" w:eastAsia="Calibri" w:hAnsi="Times New Roman" w:cs="Times New Roman"/>
          <w:sz w:val="22"/>
          <w:szCs w:val="22"/>
        </w:rPr>
      </w:pPr>
      <w:r w:rsidRPr="00D626AB">
        <w:rPr>
          <w:rFonts w:ascii="Times New Roman" w:eastAsia="Calibri" w:hAnsi="Times New Roman" w:cs="Times New Roman"/>
          <w:sz w:val="22"/>
          <w:szCs w:val="22"/>
        </w:rPr>
        <w:t>In structures where the balance of authority is disrupted, the first issue is that decision-making processes extend beyond the legal framework. When authority limits are not clearly drawn or internal approval mechanisms are not effectively implemented, individuals acting on behalf of the company may enter into binding transactions even if they lack the necessary legal authority. This creates a disconnect between the company’s true intent and the resulting legal consequences.</w:t>
      </w:r>
    </w:p>
    <w:p w14:paraId="349A7460" w14:textId="77777777" w:rsidR="007908AD" w:rsidRPr="00D626AB" w:rsidRDefault="007908AD" w:rsidP="007908AD">
      <w:pPr>
        <w:spacing w:before="240" w:after="240"/>
        <w:jc w:val="both"/>
        <w:rPr>
          <w:rFonts w:ascii="Times New Roman" w:eastAsia="Calibri" w:hAnsi="Times New Roman" w:cs="Times New Roman"/>
          <w:sz w:val="22"/>
          <w:szCs w:val="22"/>
          <w:lang w:val="en-US"/>
        </w:rPr>
      </w:pPr>
      <w:r w:rsidRPr="00D626AB">
        <w:rPr>
          <w:rFonts w:ascii="Times New Roman" w:eastAsia="Calibri" w:hAnsi="Times New Roman" w:cs="Times New Roman"/>
          <w:sz w:val="22"/>
          <w:szCs w:val="22"/>
          <w:lang w:val="en-US"/>
        </w:rPr>
        <w:t>From the perspective of relations with third parties, internal authority breaches are not always taken into account. Where the counterparty acts in good faith, transactions carried out in the name of the company may be deemed valid, and the company is considered bound by them. As a result, internal organizational deficiencies translate directly into external legal liability.</w:t>
      </w:r>
    </w:p>
    <w:p w14:paraId="246F56AD" w14:textId="77777777" w:rsidR="007908AD" w:rsidRPr="00D626AB" w:rsidRDefault="007908AD" w:rsidP="007908AD">
      <w:pPr>
        <w:pStyle w:val="Balk3"/>
        <w:spacing w:before="281" w:after="281"/>
        <w:jc w:val="both"/>
        <w:rPr>
          <w:rFonts w:ascii="Times New Roman" w:eastAsia="Calibri" w:hAnsi="Times New Roman" w:cs="Times New Roman"/>
          <w:b/>
          <w:bCs/>
          <w:color w:val="auto"/>
          <w:sz w:val="22"/>
          <w:szCs w:val="22"/>
        </w:rPr>
      </w:pPr>
      <w:r w:rsidRPr="00D626AB">
        <w:rPr>
          <w:rFonts w:ascii="Times New Roman" w:eastAsia="Calibri" w:hAnsi="Times New Roman" w:cs="Times New Roman"/>
          <w:b/>
          <w:bCs/>
          <w:color w:val="auto"/>
          <w:sz w:val="22"/>
          <w:szCs w:val="22"/>
        </w:rPr>
        <w:t>The Board of Directors’ Duty of Oversight and Supervision</w:t>
      </w:r>
    </w:p>
    <w:p w14:paraId="5E5CFAFB" w14:textId="77777777" w:rsidR="007908AD" w:rsidRPr="00D626AB" w:rsidRDefault="007908AD" w:rsidP="007908AD">
      <w:pPr>
        <w:spacing w:before="240" w:after="240"/>
        <w:jc w:val="both"/>
        <w:rPr>
          <w:rFonts w:ascii="Times New Roman" w:eastAsia="Calibri" w:hAnsi="Times New Roman" w:cs="Times New Roman"/>
          <w:sz w:val="22"/>
          <w:szCs w:val="22"/>
        </w:rPr>
      </w:pPr>
      <w:r w:rsidRPr="00D626AB">
        <w:rPr>
          <w:rFonts w:ascii="Times New Roman" w:eastAsia="Calibri" w:hAnsi="Times New Roman" w:cs="Times New Roman"/>
          <w:sz w:val="22"/>
          <w:szCs w:val="22"/>
        </w:rPr>
        <w:t>The breakdown of authority balance also creates a distinct area of responsibility for the board of directors. In structures where authority delegation is not clearly and formally documented, where the activities of authorized individuals are not monitored, and where oversight mechanisms are not effectively applied, the consequences of decisions ultimately fall on the board.</w:t>
      </w:r>
    </w:p>
    <w:p w14:paraId="3015665C" w14:textId="51FC5AB6" w:rsidR="007908AD" w:rsidRPr="00D626AB" w:rsidRDefault="007908AD" w:rsidP="007908AD">
      <w:pPr>
        <w:spacing w:before="240" w:after="240"/>
        <w:jc w:val="both"/>
        <w:rPr>
          <w:rFonts w:ascii="Times New Roman" w:eastAsia="Calibri" w:hAnsi="Times New Roman" w:cs="Times New Roman"/>
          <w:sz w:val="22"/>
          <w:szCs w:val="22"/>
        </w:rPr>
      </w:pPr>
      <w:r w:rsidRPr="00D626AB">
        <w:rPr>
          <w:rFonts w:ascii="Times New Roman" w:eastAsia="Calibri" w:hAnsi="Times New Roman" w:cs="Times New Roman"/>
          <w:sz w:val="22"/>
          <w:szCs w:val="22"/>
        </w:rPr>
        <w:lastRenderedPageBreak/>
        <w:t>In particular, uncontrolled execution of high-value transactions or transactions that affect the company’s risk profile may give rise to claims that the board has failed to fulfill its duties properly. In such cases, liability extends beyond the individuals who carried out the transactions and brings the responsibility of the board into question.</w:t>
      </w:r>
    </w:p>
    <w:p w14:paraId="40049A42" w14:textId="77777777" w:rsidR="007908AD" w:rsidRPr="00D626AB" w:rsidRDefault="007908AD" w:rsidP="007908AD">
      <w:pPr>
        <w:jc w:val="both"/>
        <w:rPr>
          <w:rFonts w:ascii="Times New Roman" w:eastAsia="Calibri" w:hAnsi="Times New Roman" w:cs="Times New Roman"/>
          <w:sz w:val="22"/>
          <w:szCs w:val="22"/>
        </w:rPr>
      </w:pPr>
    </w:p>
    <w:p w14:paraId="0B9EB0B8" w14:textId="77777777" w:rsidR="007908AD" w:rsidRPr="00D626AB" w:rsidRDefault="007908AD" w:rsidP="007908AD">
      <w:pPr>
        <w:pStyle w:val="Balk3"/>
        <w:spacing w:before="281" w:after="281"/>
        <w:jc w:val="both"/>
        <w:rPr>
          <w:rFonts w:ascii="Times New Roman" w:eastAsia="Calibri" w:hAnsi="Times New Roman" w:cs="Times New Roman"/>
          <w:b/>
          <w:bCs/>
          <w:color w:val="auto"/>
          <w:sz w:val="22"/>
          <w:szCs w:val="22"/>
        </w:rPr>
      </w:pPr>
      <w:r w:rsidRPr="00D626AB">
        <w:rPr>
          <w:rFonts w:ascii="Times New Roman" w:eastAsia="Calibri" w:hAnsi="Times New Roman" w:cs="Times New Roman"/>
          <w:b/>
          <w:bCs/>
          <w:color w:val="auto"/>
          <w:sz w:val="22"/>
          <w:szCs w:val="22"/>
        </w:rPr>
        <w:t>Effects of Authority Shifts in the Shareholding Structure</w:t>
      </w:r>
    </w:p>
    <w:p w14:paraId="61EE350B" w14:textId="77777777" w:rsidR="007908AD" w:rsidRPr="00D626AB" w:rsidRDefault="007908AD" w:rsidP="007908AD">
      <w:pPr>
        <w:spacing w:before="240" w:after="240"/>
        <w:jc w:val="both"/>
        <w:rPr>
          <w:rFonts w:ascii="Times New Roman" w:eastAsia="Calibri" w:hAnsi="Times New Roman" w:cs="Times New Roman"/>
          <w:sz w:val="22"/>
          <w:szCs w:val="22"/>
        </w:rPr>
      </w:pPr>
      <w:r w:rsidRPr="00D626AB">
        <w:rPr>
          <w:rFonts w:ascii="Times New Roman" w:eastAsia="Calibri" w:hAnsi="Times New Roman" w:cs="Times New Roman"/>
          <w:sz w:val="22"/>
          <w:szCs w:val="22"/>
        </w:rPr>
        <w:t>Disruptions in authority balance also directly affect shareholder relationships. The loss of transparency in decision-making processes, the de facto concentration of authority in certain individuals, or the exclusion of some shareholders from these processes undermine trust among shareholders.</w:t>
      </w:r>
    </w:p>
    <w:p w14:paraId="0A75DBAA" w14:textId="0120E8D9" w:rsidR="007908AD" w:rsidRPr="00D626AB" w:rsidRDefault="007908AD" w:rsidP="007908AD">
      <w:pPr>
        <w:spacing w:before="240" w:after="240"/>
        <w:jc w:val="both"/>
        <w:rPr>
          <w:rFonts w:ascii="Times New Roman" w:eastAsia="Calibri" w:hAnsi="Times New Roman" w:cs="Times New Roman"/>
          <w:sz w:val="22"/>
          <w:szCs w:val="22"/>
        </w:rPr>
      </w:pPr>
      <w:r w:rsidRPr="00D626AB">
        <w:rPr>
          <w:rFonts w:ascii="Times New Roman" w:eastAsia="Calibri" w:hAnsi="Times New Roman" w:cs="Times New Roman"/>
          <w:sz w:val="22"/>
          <w:szCs w:val="22"/>
        </w:rPr>
        <w:t xml:space="preserve">At this stage, the authority issue ceases to be a mere managerial problem and turns into a shareholder dispute. Actions for annulment, liability claims, and disputes concerning shareholder rights often emerge as a natural consequence of a disrupted authority balance. When internal power </w:t>
      </w:r>
      <w:r w:rsidR="0034422A">
        <w:rPr>
          <w:rFonts w:ascii="Times New Roman" w:eastAsia="Calibri" w:hAnsi="Times New Roman" w:cs="Times New Roman"/>
          <w:sz w:val="22"/>
          <w:szCs w:val="22"/>
        </w:rPr>
        <w:pgNum/>
        <w:t>atüre</w:t>
      </w:r>
      <w:r w:rsidR="0034422A">
        <w:rPr>
          <w:rFonts w:ascii="Times New Roman" w:eastAsia="Calibri" w:hAnsi="Times New Roman" w:cs="Times New Roman"/>
          <w:sz w:val="22"/>
          <w:szCs w:val="22"/>
        </w:rPr>
        <w:pgNum/>
        <w:t>s</w:t>
      </w:r>
      <w:r w:rsidRPr="00D626AB">
        <w:rPr>
          <w:rFonts w:ascii="Times New Roman" w:eastAsia="Calibri" w:hAnsi="Times New Roman" w:cs="Times New Roman"/>
          <w:sz w:val="22"/>
          <w:szCs w:val="22"/>
        </w:rPr>
        <w:t xml:space="preserve"> detach from the legal framework, the sustainability of the shareholder relationship itself may be jeopardized.</w:t>
      </w:r>
    </w:p>
    <w:p w14:paraId="6678B51D" w14:textId="77777777" w:rsidR="007908AD" w:rsidRPr="00D626AB" w:rsidRDefault="007908AD" w:rsidP="007908AD">
      <w:pPr>
        <w:jc w:val="both"/>
        <w:rPr>
          <w:rFonts w:ascii="Times New Roman" w:eastAsia="Calibri" w:hAnsi="Times New Roman" w:cs="Times New Roman"/>
          <w:sz w:val="22"/>
          <w:szCs w:val="22"/>
        </w:rPr>
      </w:pPr>
    </w:p>
    <w:p w14:paraId="3FC907C1" w14:textId="77777777" w:rsidR="007908AD" w:rsidRPr="00D626AB" w:rsidRDefault="007908AD" w:rsidP="007908AD">
      <w:pPr>
        <w:pStyle w:val="Balk3"/>
        <w:spacing w:before="281" w:after="281"/>
        <w:jc w:val="both"/>
        <w:rPr>
          <w:rFonts w:ascii="Times New Roman" w:eastAsia="Calibri" w:hAnsi="Times New Roman" w:cs="Times New Roman"/>
          <w:b/>
          <w:bCs/>
          <w:color w:val="auto"/>
          <w:sz w:val="22"/>
          <w:szCs w:val="22"/>
        </w:rPr>
      </w:pPr>
      <w:r w:rsidRPr="00D626AB">
        <w:rPr>
          <w:rFonts w:ascii="Times New Roman" w:eastAsia="Calibri" w:hAnsi="Times New Roman" w:cs="Times New Roman"/>
          <w:b/>
          <w:bCs/>
          <w:color w:val="auto"/>
          <w:sz w:val="22"/>
          <w:szCs w:val="22"/>
        </w:rPr>
        <w:t>Legal Uncertainty in Contractual Relationships</w:t>
      </w:r>
    </w:p>
    <w:p w14:paraId="1E3B585F" w14:textId="773085A7" w:rsidR="007908AD" w:rsidRPr="00D626AB" w:rsidRDefault="007908AD" w:rsidP="007908AD">
      <w:pPr>
        <w:spacing w:before="240" w:after="240"/>
        <w:jc w:val="both"/>
        <w:rPr>
          <w:rFonts w:ascii="Times New Roman" w:eastAsia="Calibri" w:hAnsi="Times New Roman" w:cs="Times New Roman"/>
          <w:sz w:val="22"/>
          <w:szCs w:val="22"/>
        </w:rPr>
      </w:pPr>
      <w:r w:rsidRPr="00D626AB">
        <w:rPr>
          <w:rFonts w:ascii="Times New Roman" w:eastAsia="Calibri" w:hAnsi="Times New Roman" w:cs="Times New Roman"/>
          <w:sz w:val="22"/>
          <w:szCs w:val="22"/>
        </w:rPr>
        <w:t xml:space="preserve">When problems in the authority structure are reflected in the company’s contracts, legal risk becomes more pronounced. Contracts signed through transactions that exceed representative authority, commitments that conflict with internal directives, or unauthorized signatures create disputes regarding the validity and binding </w:t>
      </w:r>
      <w:r w:rsidR="0034422A">
        <w:rPr>
          <w:rFonts w:ascii="Times New Roman" w:eastAsia="Calibri" w:hAnsi="Times New Roman" w:cs="Times New Roman"/>
          <w:sz w:val="22"/>
          <w:szCs w:val="22"/>
        </w:rPr>
        <w:pgNum/>
        <w:t>atüre</w:t>
      </w:r>
      <w:r w:rsidRPr="00D626AB">
        <w:rPr>
          <w:rFonts w:ascii="Times New Roman" w:eastAsia="Calibri" w:hAnsi="Times New Roman" w:cs="Times New Roman"/>
          <w:sz w:val="22"/>
          <w:szCs w:val="22"/>
        </w:rPr>
        <w:t xml:space="preserve"> of those agreements.</w:t>
      </w:r>
    </w:p>
    <w:p w14:paraId="65BA0582" w14:textId="77777777" w:rsidR="007908AD" w:rsidRPr="00D626AB" w:rsidRDefault="007908AD" w:rsidP="007908AD">
      <w:pPr>
        <w:spacing w:before="240" w:after="240"/>
        <w:jc w:val="both"/>
        <w:rPr>
          <w:rFonts w:ascii="Times New Roman" w:eastAsia="Calibri" w:hAnsi="Times New Roman" w:cs="Times New Roman"/>
          <w:sz w:val="22"/>
          <w:szCs w:val="22"/>
        </w:rPr>
      </w:pPr>
      <w:r w:rsidRPr="00D626AB">
        <w:rPr>
          <w:rFonts w:ascii="Times New Roman" w:eastAsia="Calibri" w:hAnsi="Times New Roman" w:cs="Times New Roman"/>
          <w:sz w:val="22"/>
          <w:szCs w:val="22"/>
        </w:rPr>
        <w:t>In such contracts, the issue often does not stem from the substance of the obligations, but from who concluded the agreement and under what authority. Claims of invalidity, liability, and compensation arise on this basis of uncertainty, undermining the continuity of commercial relationships.</w:t>
      </w:r>
    </w:p>
    <w:p w14:paraId="2C7233A1" w14:textId="77777777" w:rsidR="007908AD" w:rsidRPr="00D626AB" w:rsidRDefault="007908AD" w:rsidP="007908AD">
      <w:pPr>
        <w:pStyle w:val="Balk3"/>
        <w:spacing w:before="281" w:after="281"/>
        <w:jc w:val="both"/>
        <w:rPr>
          <w:rFonts w:ascii="Times New Roman" w:eastAsia="Calibri" w:hAnsi="Times New Roman" w:cs="Times New Roman"/>
          <w:b/>
          <w:bCs/>
          <w:color w:val="auto"/>
          <w:sz w:val="22"/>
          <w:szCs w:val="22"/>
        </w:rPr>
      </w:pPr>
      <w:r w:rsidRPr="00D626AB">
        <w:rPr>
          <w:rFonts w:ascii="Times New Roman" w:eastAsia="Calibri" w:hAnsi="Times New Roman" w:cs="Times New Roman"/>
          <w:b/>
          <w:bCs/>
          <w:color w:val="auto"/>
          <w:sz w:val="22"/>
          <w:szCs w:val="22"/>
        </w:rPr>
        <w:t>Blurring of the Boundary Between Employees and Managers</w:t>
      </w:r>
    </w:p>
    <w:p w14:paraId="34337471" w14:textId="77777777" w:rsidR="007908AD" w:rsidRPr="00D626AB" w:rsidRDefault="007908AD" w:rsidP="007908AD">
      <w:pPr>
        <w:spacing w:before="240" w:after="240"/>
        <w:jc w:val="both"/>
        <w:rPr>
          <w:rFonts w:ascii="Times New Roman" w:eastAsia="Calibri" w:hAnsi="Times New Roman" w:cs="Times New Roman"/>
          <w:sz w:val="22"/>
          <w:szCs w:val="22"/>
        </w:rPr>
      </w:pPr>
      <w:r w:rsidRPr="00D626AB">
        <w:rPr>
          <w:rFonts w:ascii="Times New Roman" w:eastAsia="Calibri" w:hAnsi="Times New Roman" w:cs="Times New Roman"/>
          <w:sz w:val="22"/>
          <w:szCs w:val="22"/>
        </w:rPr>
        <w:t>In structures where authority balance is not clearly established, the link between title and authority weakens. Situations in which individuals without authority act as de facto managers, or where the scope of responsibility of authorized individuals is not clearly defined, blur the chain of command.</w:t>
      </w:r>
    </w:p>
    <w:p w14:paraId="3506DB6F" w14:textId="77777777" w:rsidR="007908AD" w:rsidRPr="00D626AB" w:rsidRDefault="007908AD" w:rsidP="007908AD">
      <w:pPr>
        <w:spacing w:before="240" w:after="240"/>
        <w:jc w:val="both"/>
        <w:rPr>
          <w:rFonts w:ascii="Times New Roman" w:eastAsia="Calibri" w:hAnsi="Times New Roman" w:cs="Times New Roman"/>
          <w:sz w:val="22"/>
          <w:szCs w:val="22"/>
          <w:lang w:val="en-US"/>
        </w:rPr>
      </w:pPr>
      <w:r w:rsidRPr="00D626AB">
        <w:rPr>
          <w:rFonts w:ascii="Times New Roman" w:eastAsia="Calibri" w:hAnsi="Times New Roman" w:cs="Times New Roman"/>
          <w:sz w:val="22"/>
          <w:szCs w:val="22"/>
          <w:lang w:val="en-US"/>
        </w:rPr>
        <w:t>This ambiguity leads to serious evidentiary issues in labor law disputes. When it is unclear who qualifies as an employer’s representative, who has the authority to issue binding instructions, and whose decisions bind the company, the company may face unexpected obligations.</w:t>
      </w:r>
    </w:p>
    <w:p w14:paraId="631CF6A2" w14:textId="77777777" w:rsidR="007908AD" w:rsidRPr="00D626AB" w:rsidRDefault="007908AD" w:rsidP="007908AD">
      <w:pPr>
        <w:pStyle w:val="Balk3"/>
        <w:spacing w:before="281" w:after="281"/>
        <w:jc w:val="both"/>
        <w:rPr>
          <w:rFonts w:ascii="Times New Roman" w:eastAsia="Calibri" w:hAnsi="Times New Roman" w:cs="Times New Roman"/>
          <w:b/>
          <w:bCs/>
          <w:color w:val="auto"/>
          <w:sz w:val="22"/>
          <w:szCs w:val="22"/>
        </w:rPr>
      </w:pPr>
      <w:r w:rsidRPr="00D626AB">
        <w:rPr>
          <w:rFonts w:ascii="Times New Roman" w:eastAsia="Calibri" w:hAnsi="Times New Roman" w:cs="Times New Roman"/>
          <w:b/>
          <w:bCs/>
          <w:color w:val="auto"/>
          <w:sz w:val="22"/>
          <w:szCs w:val="22"/>
        </w:rPr>
        <w:t>Internal Audit, Compliance, and the Dimension of Corporate Trust</w:t>
      </w:r>
    </w:p>
    <w:p w14:paraId="692E7F5D" w14:textId="77777777" w:rsidR="007908AD" w:rsidRPr="00D626AB" w:rsidRDefault="007908AD" w:rsidP="007908AD">
      <w:pPr>
        <w:spacing w:before="240" w:after="240"/>
        <w:jc w:val="both"/>
        <w:rPr>
          <w:rFonts w:ascii="Times New Roman" w:eastAsia="Calibri" w:hAnsi="Times New Roman" w:cs="Times New Roman"/>
          <w:sz w:val="22"/>
          <w:szCs w:val="22"/>
        </w:rPr>
      </w:pPr>
      <w:r w:rsidRPr="00D626AB">
        <w:rPr>
          <w:rFonts w:ascii="Times New Roman" w:eastAsia="Calibri" w:hAnsi="Times New Roman" w:cs="Times New Roman"/>
          <w:sz w:val="22"/>
          <w:szCs w:val="22"/>
        </w:rPr>
        <w:t>In structures where authority matrices are not kept up to date, decision-making processes are not properly documented, and control mechanisms do not function effectively, internal audit and compliance processes lose their effectiveness. During audits, this situation is assessed as a structural weakness and increases the company’s risk profile.</w:t>
      </w:r>
    </w:p>
    <w:p w14:paraId="37D8FCCF" w14:textId="77777777" w:rsidR="007908AD" w:rsidRPr="00D626AB" w:rsidRDefault="007908AD" w:rsidP="007908AD">
      <w:pPr>
        <w:spacing w:before="240" w:after="240"/>
        <w:jc w:val="both"/>
        <w:rPr>
          <w:rFonts w:ascii="Times New Roman" w:eastAsia="Calibri" w:hAnsi="Times New Roman" w:cs="Times New Roman"/>
          <w:sz w:val="22"/>
          <w:szCs w:val="22"/>
          <w:lang w:val="en-US"/>
        </w:rPr>
      </w:pPr>
      <w:r w:rsidRPr="00D626AB">
        <w:rPr>
          <w:rFonts w:ascii="Times New Roman" w:eastAsia="Calibri" w:hAnsi="Times New Roman" w:cs="Times New Roman"/>
          <w:sz w:val="22"/>
          <w:szCs w:val="22"/>
          <w:lang w:val="en-US"/>
        </w:rPr>
        <w:lastRenderedPageBreak/>
        <w:t>The same structure also undermines the company’s credibility in the eyes of banks, investors, and suppliers. Companies with unclear authority structures are perceived as unpredictable and high-risk, and this perception has a direct impact on financing opportunities and commercial relationships.</w:t>
      </w:r>
    </w:p>
    <w:p w14:paraId="1A676BDD" w14:textId="77777777" w:rsidR="007908AD" w:rsidRPr="00D626AB" w:rsidRDefault="007908AD" w:rsidP="007908AD">
      <w:pPr>
        <w:pStyle w:val="Balk3"/>
        <w:spacing w:before="281" w:after="281"/>
        <w:jc w:val="both"/>
        <w:rPr>
          <w:rFonts w:ascii="Times New Roman" w:eastAsia="Calibri" w:hAnsi="Times New Roman" w:cs="Times New Roman"/>
          <w:b/>
          <w:bCs/>
          <w:color w:val="auto"/>
          <w:sz w:val="22"/>
          <w:szCs w:val="22"/>
        </w:rPr>
      </w:pPr>
      <w:r w:rsidRPr="00D626AB">
        <w:rPr>
          <w:rFonts w:ascii="Times New Roman" w:eastAsia="Calibri" w:hAnsi="Times New Roman" w:cs="Times New Roman"/>
          <w:b/>
          <w:bCs/>
          <w:color w:val="auto"/>
          <w:sz w:val="22"/>
          <w:szCs w:val="22"/>
        </w:rPr>
        <w:t>General Assessment</w:t>
      </w:r>
    </w:p>
    <w:p w14:paraId="0CA1CEE3" w14:textId="77777777" w:rsidR="007908AD" w:rsidRPr="00D626AB" w:rsidRDefault="007908AD" w:rsidP="007908AD">
      <w:pPr>
        <w:spacing w:before="240" w:after="240"/>
        <w:jc w:val="both"/>
        <w:rPr>
          <w:rFonts w:ascii="Times New Roman" w:eastAsia="Calibri" w:hAnsi="Times New Roman" w:cs="Times New Roman"/>
          <w:sz w:val="22"/>
          <w:szCs w:val="22"/>
        </w:rPr>
      </w:pPr>
      <w:r w:rsidRPr="00D626AB">
        <w:rPr>
          <w:rFonts w:ascii="Times New Roman" w:eastAsia="Calibri" w:hAnsi="Times New Roman" w:cs="Times New Roman"/>
          <w:sz w:val="22"/>
          <w:szCs w:val="22"/>
        </w:rPr>
        <w:t>The breakdown of internal authority balance is not merely an organizational issue. It creates uncertainty regarding which transactions bind the company, who bears responsibility, and who is ultimately accountable. When this uncertainty is not resolved, decisions arising from day-to-day operations gradually turn into serious legal disputes. Establishing the authority structure in a clear, written, and auditable manner should be regarded as one of the fundamental prerequisites of a company’s legal security.</w:t>
      </w:r>
    </w:p>
    <w:p w14:paraId="08F97E0B" w14:textId="77777777" w:rsidR="007908AD" w:rsidRPr="00D626AB" w:rsidRDefault="007908AD" w:rsidP="007908AD">
      <w:pPr>
        <w:spacing w:after="0"/>
        <w:jc w:val="both"/>
        <w:rPr>
          <w:rFonts w:ascii="Times New Roman" w:hAnsi="Times New Roman" w:cs="Times New Roman"/>
          <w:b/>
          <w:bCs/>
          <w:sz w:val="22"/>
          <w:szCs w:val="22"/>
        </w:rPr>
      </w:pPr>
    </w:p>
    <w:p w14:paraId="4EF9C7B3" w14:textId="702E6F3B" w:rsidR="007908AD" w:rsidRPr="00D626AB" w:rsidRDefault="0034422A" w:rsidP="0034422A">
      <w:pPr>
        <w:spacing w:after="0"/>
        <w:jc w:val="right"/>
        <w:rPr>
          <w:rFonts w:ascii="Times New Roman" w:hAnsi="Times New Roman" w:cs="Times New Roman"/>
          <w:b/>
          <w:bCs/>
          <w:sz w:val="22"/>
          <w:szCs w:val="22"/>
        </w:rPr>
      </w:pPr>
      <w:r>
        <w:rPr>
          <w:rFonts w:ascii="Times New Roman" w:hAnsi="Times New Roman" w:cs="Times New Roman"/>
          <w:b/>
          <w:bCs/>
          <w:sz w:val="22"/>
          <w:szCs w:val="22"/>
        </w:rPr>
        <w:t>EYLÜL 2025</w:t>
      </w:r>
    </w:p>
    <w:p w14:paraId="73716D32" w14:textId="1F98F746" w:rsidR="001527A2" w:rsidRPr="00D626AB" w:rsidRDefault="001527A2" w:rsidP="001527A2">
      <w:pPr>
        <w:pStyle w:val="ListeParagraf"/>
        <w:numPr>
          <w:ilvl w:val="0"/>
          <w:numId w:val="1"/>
        </w:numPr>
        <w:spacing w:after="0"/>
        <w:ind w:left="0"/>
        <w:jc w:val="both"/>
        <w:rPr>
          <w:rFonts w:ascii="Times New Roman" w:hAnsi="Times New Roman" w:cs="Times New Roman"/>
          <w:b/>
          <w:bCs/>
          <w:sz w:val="22"/>
          <w:szCs w:val="22"/>
        </w:rPr>
      </w:pPr>
      <w:r w:rsidRPr="00D626AB">
        <w:rPr>
          <w:rFonts w:ascii="Times New Roman" w:hAnsi="Times New Roman" w:cs="Times New Roman"/>
          <w:b/>
          <w:bCs/>
          <w:sz w:val="22"/>
          <w:szCs w:val="22"/>
        </w:rPr>
        <w:t>ŞİRKETLERDE ETİK KURALLAR VE HUKUKİ BOYUT</w:t>
      </w:r>
    </w:p>
    <w:p w14:paraId="4F01EF28" w14:textId="77777777" w:rsidR="001527A2" w:rsidRPr="00D626AB" w:rsidRDefault="001527A2">
      <w:pPr>
        <w:rPr>
          <w:rFonts w:ascii="Times New Roman" w:hAnsi="Times New Roman" w:cs="Times New Roman"/>
          <w:sz w:val="22"/>
          <w:szCs w:val="22"/>
        </w:rPr>
      </w:pPr>
    </w:p>
    <w:p w14:paraId="450C36AC" w14:textId="77777777" w:rsidR="00272AD9" w:rsidRPr="00D626AB" w:rsidRDefault="00272AD9" w:rsidP="00272AD9">
      <w:pPr>
        <w:jc w:val="both"/>
        <w:rPr>
          <w:rFonts w:ascii="Times New Roman" w:eastAsia="Calibri" w:hAnsi="Times New Roman" w:cs="Times New Roman"/>
          <w:sz w:val="22"/>
          <w:szCs w:val="22"/>
        </w:rPr>
      </w:pPr>
      <w:r w:rsidRPr="00D626AB">
        <w:rPr>
          <w:rFonts w:ascii="Times New Roman" w:eastAsia="Calibri" w:hAnsi="Times New Roman" w:cs="Times New Roman"/>
          <w:sz w:val="22"/>
          <w:szCs w:val="22"/>
        </w:rPr>
        <w:t>Şirketlerin başarısı kâr oranlarıyla tek başına açıklanamaz. Kurumsal itibar, sürdürülebilirlik, paydaşlarla güvene dayalı ilişkiler ve topluma karşı sorumluluk da finansal performans kadar belirleyici hale gelmiştir. Etik kurallar, şirketlerin iç ve dış ilişkilerinde rehber niteliği taşırken; hukuki düzenlemeler bu kuralları yaptırım gücü olan normlara dönüştürmektedir. Böylece etik ile hukuk, şirketlerin uzun vadeli varlığını güvence altına alan tamamlayıcı unsurlar olarak öne çıkar.</w:t>
      </w:r>
    </w:p>
    <w:p w14:paraId="009A39D5" w14:textId="77777777" w:rsidR="00272AD9" w:rsidRPr="00D626AB" w:rsidRDefault="00272AD9" w:rsidP="00272AD9">
      <w:pPr>
        <w:jc w:val="both"/>
        <w:rPr>
          <w:rFonts w:ascii="Times New Roman" w:eastAsia="Calibri" w:hAnsi="Times New Roman" w:cs="Times New Roman"/>
          <w:b/>
          <w:bCs/>
          <w:sz w:val="22"/>
          <w:szCs w:val="22"/>
        </w:rPr>
      </w:pPr>
      <w:r w:rsidRPr="00D626AB">
        <w:rPr>
          <w:rFonts w:ascii="Times New Roman" w:eastAsia="Calibri" w:hAnsi="Times New Roman" w:cs="Times New Roman"/>
          <w:b/>
          <w:bCs/>
          <w:sz w:val="22"/>
          <w:szCs w:val="22"/>
        </w:rPr>
        <w:t>Etik Kuralların İşlevi</w:t>
      </w:r>
    </w:p>
    <w:p w14:paraId="37A94F96" w14:textId="77777777" w:rsidR="00272AD9" w:rsidRPr="00D626AB" w:rsidRDefault="00272AD9" w:rsidP="00272AD9">
      <w:pPr>
        <w:jc w:val="both"/>
        <w:rPr>
          <w:rFonts w:ascii="Times New Roman" w:eastAsia="Calibri" w:hAnsi="Times New Roman" w:cs="Times New Roman"/>
          <w:sz w:val="22"/>
          <w:szCs w:val="22"/>
        </w:rPr>
      </w:pPr>
      <w:r w:rsidRPr="00D626AB">
        <w:rPr>
          <w:rFonts w:ascii="Times New Roman" w:eastAsia="Calibri" w:hAnsi="Times New Roman" w:cs="Times New Roman"/>
          <w:sz w:val="22"/>
          <w:szCs w:val="22"/>
        </w:rPr>
        <w:t>Etik ilkeler, şirketlerin faaliyetlerinde dürüstlük, şeffaflık, tarafsızlık ve sorumluluk gibi değerleri öne çıkarır. Çalışanların karar alma süreçlerinde bu ilkelere bağlı kalması, çıkar çatışmalarının önlenmesini ve kurumsal kültürün güçlenmesini destekler. Etik standartlara bağlılık, şirket içindeki ilişkilerin yanı sıra müşteriler, tedarikçiler, kamu kurumları ve toplum ile kurulan bağlarda da güven ortamı yaratır. Böylece şirketin piyasadaki itibarı korunur ve uzun vadeli ilişkiler için sağlam bir temel oluşur.</w:t>
      </w:r>
    </w:p>
    <w:p w14:paraId="755EF19A" w14:textId="77777777" w:rsidR="00272AD9" w:rsidRPr="00D626AB" w:rsidRDefault="00272AD9" w:rsidP="00272AD9">
      <w:pPr>
        <w:jc w:val="both"/>
        <w:rPr>
          <w:rFonts w:ascii="Times New Roman" w:eastAsia="Calibri" w:hAnsi="Times New Roman" w:cs="Times New Roman"/>
          <w:b/>
          <w:bCs/>
          <w:sz w:val="22"/>
          <w:szCs w:val="22"/>
        </w:rPr>
      </w:pPr>
      <w:r w:rsidRPr="00D626AB">
        <w:rPr>
          <w:rFonts w:ascii="Times New Roman" w:eastAsia="Calibri" w:hAnsi="Times New Roman" w:cs="Times New Roman"/>
          <w:b/>
          <w:bCs/>
          <w:sz w:val="22"/>
          <w:szCs w:val="22"/>
        </w:rPr>
        <w:t>Hukuki Boyut ve Düzenlemeler</w:t>
      </w:r>
    </w:p>
    <w:p w14:paraId="56678A85" w14:textId="77777777" w:rsidR="00272AD9" w:rsidRPr="00D626AB" w:rsidRDefault="00272AD9" w:rsidP="00272AD9">
      <w:pPr>
        <w:jc w:val="both"/>
        <w:rPr>
          <w:rFonts w:ascii="Times New Roman" w:eastAsia="Calibri" w:hAnsi="Times New Roman" w:cs="Times New Roman"/>
          <w:sz w:val="22"/>
          <w:szCs w:val="22"/>
        </w:rPr>
      </w:pPr>
      <w:r w:rsidRPr="00D626AB">
        <w:rPr>
          <w:rFonts w:ascii="Times New Roman" w:eastAsia="Calibri" w:hAnsi="Times New Roman" w:cs="Times New Roman"/>
          <w:sz w:val="22"/>
          <w:szCs w:val="22"/>
        </w:rPr>
        <w:t>Etik kurallar çoğu zaman şirketlerin kendi hazırladıkları davranış kodları ve iç yönergelerle şekillense de, hukuki düzenlemeler bu ilkeleri bağlayıcı hale getirir. Türk Ticaret Kanunu’nda haksız rekabet hükümleri, dürüstlük kuralına aykırı her türlü davranışı yasaklar. İş Kanunu’nun eşit davranma borcu, çalışanlara yönelik ayrımcılığın etik bir sorun olmanın ötesinde hukuka aykırı bir davranış olduğunu ortaya koyar. 6698 sayılı Kişisel Verilerin Korunması Kanunu, çalışan ve müşteri verilerinin gizliliğini koruyarak mahremiyetin hem bir değer hem de hukuki yükümlülük olduğunu netleştirir. Kamu İhale Kanunu’nda ise etik dışı davranışlar ihale dışı bırakma gibi ciddi yaptırımlara bağlanmıştır.</w:t>
      </w:r>
    </w:p>
    <w:p w14:paraId="5D39E79B" w14:textId="77777777" w:rsidR="00272AD9" w:rsidRPr="00D626AB" w:rsidRDefault="00272AD9" w:rsidP="00272AD9">
      <w:pPr>
        <w:jc w:val="both"/>
        <w:rPr>
          <w:rFonts w:ascii="Times New Roman" w:eastAsia="Calibri" w:hAnsi="Times New Roman" w:cs="Times New Roman"/>
          <w:b/>
          <w:bCs/>
          <w:sz w:val="22"/>
          <w:szCs w:val="22"/>
        </w:rPr>
      </w:pPr>
      <w:r w:rsidRPr="00D626AB">
        <w:rPr>
          <w:rFonts w:ascii="Times New Roman" w:eastAsia="Calibri" w:hAnsi="Times New Roman" w:cs="Times New Roman"/>
          <w:b/>
          <w:bCs/>
          <w:sz w:val="22"/>
          <w:szCs w:val="22"/>
        </w:rPr>
        <w:t>Yolsuzluk ve Uyum Programları</w:t>
      </w:r>
    </w:p>
    <w:p w14:paraId="1177169A" w14:textId="77777777" w:rsidR="00272AD9" w:rsidRPr="00D626AB" w:rsidRDefault="00272AD9" w:rsidP="00272AD9">
      <w:pPr>
        <w:jc w:val="both"/>
        <w:rPr>
          <w:rFonts w:ascii="Times New Roman" w:eastAsia="Calibri" w:hAnsi="Times New Roman" w:cs="Times New Roman"/>
          <w:sz w:val="22"/>
          <w:szCs w:val="22"/>
        </w:rPr>
      </w:pPr>
      <w:r w:rsidRPr="00D626AB">
        <w:rPr>
          <w:rFonts w:ascii="Times New Roman" w:eastAsia="Calibri" w:hAnsi="Times New Roman" w:cs="Times New Roman"/>
          <w:sz w:val="22"/>
          <w:szCs w:val="22"/>
        </w:rPr>
        <w:t>Etik ihlallerin en kritik alanlarından biri yolsuzluk ve rüşvetle mücadeledir. Türk Ceza Kanunu’nda rüşvet suçu açıkça tanımlanmış ve yaptırımlara bağlanmıştır. Bunun yanı sıra, uluslararası düzenlemeler de şirketler üzerinde etkili olmaktadır. Özellikle ABD’de yürürlükte olan Foreign Corrupt Practices Act (FCPA) ve İngiltere’deki UK Bribery Act, çok uluslu şirketlerin etik ve hukuki yükümlülüklerini küresel düzeyde belirlemektedir. Bu nedenle büyük şirketler, uyum programları (compliance programs) kurarak iç denetim mekanizmaları, etik ihlal bildirim sistemleri (whistleblowing) ve düzenli eğitimlerle hem etik standartlara hem de yasal zorunluluklara uyum sağlamaya çalışmaktadır.</w:t>
      </w:r>
    </w:p>
    <w:p w14:paraId="20AADE00" w14:textId="77777777" w:rsidR="00272AD9" w:rsidRPr="00D626AB" w:rsidRDefault="00272AD9" w:rsidP="00272AD9">
      <w:pPr>
        <w:jc w:val="both"/>
        <w:rPr>
          <w:rFonts w:ascii="Times New Roman" w:eastAsia="Calibri" w:hAnsi="Times New Roman" w:cs="Times New Roman"/>
          <w:b/>
          <w:bCs/>
          <w:sz w:val="22"/>
          <w:szCs w:val="22"/>
        </w:rPr>
      </w:pPr>
      <w:r w:rsidRPr="00D626AB">
        <w:rPr>
          <w:rFonts w:ascii="Times New Roman" w:eastAsia="Calibri" w:hAnsi="Times New Roman" w:cs="Times New Roman"/>
          <w:b/>
          <w:bCs/>
          <w:sz w:val="22"/>
          <w:szCs w:val="22"/>
        </w:rPr>
        <w:lastRenderedPageBreak/>
        <w:t>Çalışan Hakları ve Etik İlişkiler</w:t>
      </w:r>
    </w:p>
    <w:p w14:paraId="5613677C" w14:textId="77777777" w:rsidR="00272AD9" w:rsidRPr="00D626AB" w:rsidRDefault="00272AD9" w:rsidP="00272AD9">
      <w:pPr>
        <w:jc w:val="both"/>
        <w:rPr>
          <w:rFonts w:ascii="Times New Roman" w:eastAsia="Calibri" w:hAnsi="Times New Roman" w:cs="Times New Roman"/>
          <w:sz w:val="22"/>
          <w:szCs w:val="22"/>
        </w:rPr>
      </w:pPr>
      <w:r w:rsidRPr="00D626AB">
        <w:rPr>
          <w:rFonts w:ascii="Times New Roman" w:eastAsia="Calibri" w:hAnsi="Times New Roman" w:cs="Times New Roman"/>
          <w:sz w:val="22"/>
          <w:szCs w:val="22"/>
        </w:rPr>
        <w:t>Etik kuralların en görünür yansıması, çalışan haklarıyla ilgilidir. İş Kanunu, işverenin çalışanlara eşit muamele etme yükümlülüğünü düzenlerken, ayrımcılığa uğrayan çalışanlara tazminat talep etme hakkı tanır. Ayrıca iş sağlığı ve güvenliği mevzuatı, çalışanların güvenli bir ortamda çalışmasını hukuki bir zorunluluk haline getirmiştir. Etik açıdan çalışanların onuruna ve kişilik haklarına saygı, hukuken Borçlar Kanunu ve Anayasa tarafından da güvence altına alınmaktadır. KVKK çerçevesinde kişisel verilerin korunması, çalışanların mahremiyetine yönelik etik ilkenin yasal güvenceye kavuşmuş hâlidir.</w:t>
      </w:r>
    </w:p>
    <w:p w14:paraId="4175F6CF" w14:textId="77777777" w:rsidR="00272AD9" w:rsidRPr="00D626AB" w:rsidRDefault="00272AD9" w:rsidP="00272AD9">
      <w:pPr>
        <w:jc w:val="both"/>
        <w:rPr>
          <w:rFonts w:ascii="Times New Roman" w:eastAsia="Calibri" w:hAnsi="Times New Roman" w:cs="Times New Roman"/>
          <w:b/>
          <w:bCs/>
          <w:sz w:val="22"/>
          <w:szCs w:val="22"/>
        </w:rPr>
      </w:pPr>
      <w:r w:rsidRPr="00D626AB">
        <w:rPr>
          <w:rFonts w:ascii="Times New Roman" w:eastAsia="Calibri" w:hAnsi="Times New Roman" w:cs="Times New Roman"/>
          <w:b/>
          <w:bCs/>
          <w:sz w:val="22"/>
          <w:szCs w:val="22"/>
        </w:rPr>
        <w:t>Kurumsal Yönetim ve Etik-Hukuk Dengesi</w:t>
      </w:r>
    </w:p>
    <w:p w14:paraId="658A3937" w14:textId="77777777" w:rsidR="00272AD9" w:rsidRPr="00D626AB" w:rsidRDefault="00272AD9" w:rsidP="00272AD9">
      <w:pPr>
        <w:jc w:val="both"/>
        <w:rPr>
          <w:rFonts w:ascii="Times New Roman" w:eastAsia="Calibri" w:hAnsi="Times New Roman" w:cs="Times New Roman"/>
          <w:sz w:val="22"/>
          <w:szCs w:val="22"/>
        </w:rPr>
      </w:pPr>
      <w:r w:rsidRPr="00D626AB">
        <w:rPr>
          <w:rFonts w:ascii="Times New Roman" w:eastAsia="Calibri" w:hAnsi="Times New Roman" w:cs="Times New Roman"/>
          <w:sz w:val="22"/>
          <w:szCs w:val="22"/>
        </w:rPr>
        <w:t>Şirketlerde kurumsal yönetim ilkeleri (şeffaflık, hesap verebilirlik, adillik, sorumluluk) etik kurallar ile hukuki düzenlemelerin kesişim noktasını oluşturur. Sermaye Piyasası Kanunu ve ilgili tebliğlerde bu ilkelere uyumun zorunlu hale gelmesi, etik davranışların kurumsal yönetim standartlarının ayrılmaz bir parçası olduğunu göstermektedir. Halka açık şirketlerde bağımsız yönetim kurulu üyelerinin bulunması ve etik kurulların oluşturulması, bu sürecin kurumsal boyutta güvence altına alınmasını sağlamaktadır.</w:t>
      </w:r>
    </w:p>
    <w:p w14:paraId="02C1E0E8" w14:textId="77777777" w:rsidR="00272AD9" w:rsidRPr="00D626AB" w:rsidRDefault="00272AD9" w:rsidP="00272AD9">
      <w:pPr>
        <w:jc w:val="both"/>
        <w:rPr>
          <w:rFonts w:ascii="Times New Roman" w:eastAsia="Calibri" w:hAnsi="Times New Roman" w:cs="Times New Roman"/>
          <w:b/>
          <w:bCs/>
          <w:sz w:val="22"/>
          <w:szCs w:val="22"/>
        </w:rPr>
      </w:pPr>
      <w:r w:rsidRPr="00D626AB">
        <w:rPr>
          <w:rFonts w:ascii="Times New Roman" w:eastAsia="Calibri" w:hAnsi="Times New Roman" w:cs="Times New Roman"/>
          <w:b/>
          <w:bCs/>
          <w:sz w:val="22"/>
          <w:szCs w:val="22"/>
        </w:rPr>
        <w:t>Sonuç ve Değerlendirme</w:t>
      </w:r>
    </w:p>
    <w:p w14:paraId="62DDC34D" w14:textId="77777777" w:rsidR="00272AD9" w:rsidRPr="00D626AB" w:rsidRDefault="00272AD9" w:rsidP="00272AD9">
      <w:pPr>
        <w:jc w:val="both"/>
        <w:rPr>
          <w:rFonts w:ascii="Times New Roman" w:eastAsia="Calibri" w:hAnsi="Times New Roman" w:cs="Times New Roman"/>
          <w:sz w:val="22"/>
          <w:szCs w:val="22"/>
        </w:rPr>
      </w:pPr>
      <w:r w:rsidRPr="00D626AB">
        <w:rPr>
          <w:rFonts w:ascii="Times New Roman" w:eastAsia="Calibri" w:hAnsi="Times New Roman" w:cs="Times New Roman"/>
          <w:sz w:val="22"/>
          <w:szCs w:val="22"/>
        </w:rPr>
        <w:t>Etik kurallar ve hukuki düzenlemeler, şirketler için birbirinden ayrılmaz niteliktedir. Etik ilkeler, toplumsal güven ve kurumsal itibarın inşasında temel rol oynarken; hukuki düzenlemeler bu ilkeleri bağlayıcı normlara dönüştürerek yaptırım gücü kazandırır. Etik dışı davranışlar, kısa vadede kazanç sağlasa bile uzun vadede ciddi itibar kaybına, finansal zararlara ve yargısal süreçlere yol açabilir. Bu nedenle şirketler; yazılı etik kodlar oluşturmalı, düzenli eğitimlerle farkındalık sağlamalı, iç denetim ve uyum mekanizmalarını işletmeli, çalışan haklarını güvence altına almalı ve ulusal/uluslararası hukuki düzenlemelerle uyumu şirket politikalarının merkezine yerleştirmelidir.</w:t>
      </w:r>
    </w:p>
    <w:p w14:paraId="709A4274" w14:textId="77777777" w:rsidR="00272AD9" w:rsidRPr="00D626AB" w:rsidRDefault="00272AD9" w:rsidP="00272AD9">
      <w:pPr>
        <w:jc w:val="both"/>
        <w:rPr>
          <w:rFonts w:ascii="Times New Roman" w:eastAsia="Calibri" w:hAnsi="Times New Roman" w:cs="Times New Roman"/>
          <w:sz w:val="22"/>
          <w:szCs w:val="22"/>
        </w:rPr>
      </w:pPr>
      <w:r w:rsidRPr="00D626AB">
        <w:rPr>
          <w:rFonts w:ascii="Times New Roman" w:eastAsia="Calibri" w:hAnsi="Times New Roman" w:cs="Times New Roman"/>
          <w:sz w:val="22"/>
          <w:szCs w:val="22"/>
        </w:rPr>
        <w:t>Etik ve hukuk, şirketler için bir seçenek değil; varlıklarını sürdürmenin ve geleceğe güvenle ilerlemenin temel şartıdır. Bu iki alanın birlikte işletilmesi, piyasalarda güvenilirlik kazanmanın yanı sıra uzun vadeli kurumsal başarıyı şekillendiren en kritik unsurlardan biridir.</w:t>
      </w:r>
    </w:p>
    <w:p w14:paraId="5A77E800" w14:textId="77777777" w:rsidR="00272AD9" w:rsidRPr="00D626AB" w:rsidRDefault="00272AD9">
      <w:pPr>
        <w:rPr>
          <w:rFonts w:ascii="Times New Roman" w:hAnsi="Times New Roman" w:cs="Times New Roman"/>
          <w:sz w:val="22"/>
          <w:szCs w:val="22"/>
        </w:rPr>
      </w:pPr>
    </w:p>
    <w:p w14:paraId="78310CCC" w14:textId="5E79C616" w:rsidR="00684018" w:rsidRPr="00D626AB" w:rsidRDefault="00684018" w:rsidP="00684018">
      <w:pPr>
        <w:pStyle w:val="ListeParagraf"/>
        <w:numPr>
          <w:ilvl w:val="0"/>
          <w:numId w:val="1"/>
        </w:numPr>
        <w:spacing w:after="0"/>
        <w:ind w:left="0"/>
        <w:rPr>
          <w:rFonts w:ascii="Times New Roman" w:hAnsi="Times New Roman" w:cs="Times New Roman"/>
          <w:sz w:val="22"/>
          <w:szCs w:val="22"/>
        </w:rPr>
      </w:pPr>
      <w:r w:rsidRPr="00D626AB">
        <w:rPr>
          <w:rFonts w:ascii="Times New Roman" w:hAnsi="Times New Roman" w:cs="Times New Roman"/>
          <w:b/>
          <w:bCs/>
          <w:sz w:val="22"/>
          <w:szCs w:val="22"/>
        </w:rPr>
        <w:t>“KISA PROJE” ALGISININ DOĞURDUĞU HUKUKİ SONUÇLAR</w:t>
      </w:r>
    </w:p>
    <w:p w14:paraId="2823F815" w14:textId="77777777" w:rsidR="00684018" w:rsidRPr="00D626AB" w:rsidRDefault="00684018" w:rsidP="00684018">
      <w:pPr>
        <w:spacing w:after="0"/>
        <w:rPr>
          <w:rFonts w:ascii="Times New Roman" w:hAnsi="Times New Roman" w:cs="Times New Roman"/>
          <w:sz w:val="22"/>
          <w:szCs w:val="22"/>
        </w:rPr>
      </w:pPr>
    </w:p>
    <w:p w14:paraId="25B4E852" w14:textId="77777777" w:rsidR="00B31A35" w:rsidRPr="00D626AB" w:rsidRDefault="00B31A35" w:rsidP="00B31A35">
      <w:pPr>
        <w:jc w:val="both"/>
        <w:rPr>
          <w:rFonts w:ascii="Times New Roman" w:hAnsi="Times New Roman" w:cs="Times New Roman"/>
          <w:b/>
          <w:bCs/>
          <w:sz w:val="22"/>
          <w:szCs w:val="22"/>
        </w:rPr>
      </w:pPr>
      <w:r w:rsidRPr="00D626AB">
        <w:rPr>
          <w:rFonts w:ascii="Times New Roman" w:hAnsi="Times New Roman" w:cs="Times New Roman"/>
          <w:b/>
          <w:bCs/>
          <w:sz w:val="22"/>
          <w:szCs w:val="22"/>
        </w:rPr>
        <w:t>Sürenin kısalığı hukuki sorumluluğu değiştirmez</w:t>
      </w:r>
    </w:p>
    <w:p w14:paraId="28414D6F" w14:textId="77777777" w:rsidR="00B31A35" w:rsidRPr="00D626AB" w:rsidRDefault="00B31A35" w:rsidP="00B31A35">
      <w:pPr>
        <w:jc w:val="both"/>
        <w:rPr>
          <w:rFonts w:ascii="Times New Roman" w:hAnsi="Times New Roman" w:cs="Times New Roman"/>
          <w:sz w:val="22"/>
          <w:szCs w:val="22"/>
        </w:rPr>
      </w:pPr>
      <w:r w:rsidRPr="00D626AB">
        <w:rPr>
          <w:rFonts w:ascii="Times New Roman" w:hAnsi="Times New Roman" w:cs="Times New Roman"/>
          <w:sz w:val="22"/>
          <w:szCs w:val="22"/>
        </w:rPr>
        <w:t>“Zaten 3 aylık proje, ne olacak ki?”</w:t>
      </w:r>
    </w:p>
    <w:p w14:paraId="6C4473AA" w14:textId="77777777" w:rsidR="00B31A35" w:rsidRPr="00D626AB" w:rsidRDefault="00B31A35" w:rsidP="00B31A35">
      <w:pPr>
        <w:jc w:val="both"/>
        <w:rPr>
          <w:rFonts w:ascii="Times New Roman" w:hAnsi="Times New Roman" w:cs="Times New Roman"/>
          <w:sz w:val="22"/>
          <w:szCs w:val="22"/>
        </w:rPr>
      </w:pPr>
      <w:r w:rsidRPr="00D626AB">
        <w:rPr>
          <w:rFonts w:ascii="Times New Roman" w:hAnsi="Times New Roman" w:cs="Times New Roman"/>
          <w:sz w:val="22"/>
          <w:szCs w:val="22"/>
        </w:rPr>
        <w:t>İş hayatında sık duyulan bu yaklaşım, en yüksek riski barındıran ifadelerdendir.</w:t>
      </w:r>
    </w:p>
    <w:p w14:paraId="19162085" w14:textId="77777777" w:rsidR="00B31A35" w:rsidRPr="00D626AB" w:rsidRDefault="00B31A35" w:rsidP="00B31A35">
      <w:pPr>
        <w:jc w:val="both"/>
        <w:rPr>
          <w:rFonts w:ascii="Times New Roman" w:hAnsi="Times New Roman" w:cs="Times New Roman"/>
          <w:sz w:val="22"/>
          <w:szCs w:val="22"/>
        </w:rPr>
      </w:pPr>
      <w:r w:rsidRPr="00D626AB">
        <w:rPr>
          <w:rFonts w:ascii="Times New Roman" w:hAnsi="Times New Roman" w:cs="Times New Roman"/>
          <w:sz w:val="22"/>
          <w:szCs w:val="22"/>
        </w:rPr>
        <w:t>Kısa süreli projelerde de tarafların yükümlülükleri aynı ölçüde doğmakta, hukuki güvenlik süreden bağımsız şekilde işlemektedir.</w:t>
      </w:r>
    </w:p>
    <w:p w14:paraId="00EA4731" w14:textId="77777777" w:rsidR="00B31A35" w:rsidRPr="00D626AB" w:rsidRDefault="00B31A35" w:rsidP="00B31A35">
      <w:pPr>
        <w:jc w:val="both"/>
        <w:rPr>
          <w:rFonts w:ascii="Times New Roman" w:hAnsi="Times New Roman" w:cs="Times New Roman"/>
          <w:sz w:val="22"/>
          <w:szCs w:val="22"/>
        </w:rPr>
      </w:pPr>
      <w:r w:rsidRPr="00D626AB">
        <w:rPr>
          <w:rFonts w:ascii="Times New Roman" w:hAnsi="Times New Roman" w:cs="Times New Roman"/>
          <w:sz w:val="22"/>
          <w:szCs w:val="22"/>
        </w:rPr>
        <w:t>Bu nedenle ilişkinin başlangıcında çerçevenin net şekilde kurulması kritik önem taşımaktadır.</w:t>
      </w:r>
    </w:p>
    <w:p w14:paraId="36B9D11B" w14:textId="77777777" w:rsidR="00B31A35" w:rsidRPr="00D626AB" w:rsidRDefault="00B31A35" w:rsidP="00B31A35">
      <w:pPr>
        <w:jc w:val="both"/>
        <w:rPr>
          <w:rFonts w:ascii="Times New Roman" w:hAnsi="Times New Roman" w:cs="Times New Roman"/>
          <w:b/>
          <w:bCs/>
          <w:sz w:val="22"/>
          <w:szCs w:val="22"/>
        </w:rPr>
      </w:pPr>
      <w:r w:rsidRPr="00D626AB">
        <w:rPr>
          <w:rFonts w:ascii="Times New Roman" w:hAnsi="Times New Roman" w:cs="Times New Roman"/>
          <w:b/>
          <w:bCs/>
          <w:sz w:val="22"/>
          <w:szCs w:val="22"/>
        </w:rPr>
        <w:t>Yazısız çerçeve, en yüksek belirsizlik alanıdır</w:t>
      </w:r>
    </w:p>
    <w:p w14:paraId="1197DC65" w14:textId="77777777" w:rsidR="00B31A35" w:rsidRPr="00D626AB" w:rsidRDefault="00B31A35" w:rsidP="00B31A35">
      <w:pPr>
        <w:jc w:val="both"/>
        <w:rPr>
          <w:rFonts w:ascii="Times New Roman" w:hAnsi="Times New Roman" w:cs="Times New Roman"/>
          <w:sz w:val="22"/>
          <w:szCs w:val="22"/>
        </w:rPr>
      </w:pPr>
      <w:r w:rsidRPr="00D626AB">
        <w:rPr>
          <w:rFonts w:ascii="Times New Roman" w:hAnsi="Times New Roman" w:cs="Times New Roman"/>
          <w:sz w:val="22"/>
          <w:szCs w:val="22"/>
        </w:rPr>
        <w:t>Sözleşme yapılmadığında taraflar, fiili ilişki üzerinden yorumlanan “yazısız kurallarla” bağlı hale gelmektedir.</w:t>
      </w:r>
    </w:p>
    <w:p w14:paraId="09EEB6A2" w14:textId="77777777" w:rsidR="00B31A35" w:rsidRPr="00D626AB" w:rsidRDefault="00B31A35" w:rsidP="00B31A35">
      <w:pPr>
        <w:jc w:val="both"/>
        <w:rPr>
          <w:rFonts w:ascii="Times New Roman" w:hAnsi="Times New Roman" w:cs="Times New Roman"/>
          <w:sz w:val="22"/>
          <w:szCs w:val="22"/>
        </w:rPr>
      </w:pPr>
      <w:r w:rsidRPr="00D626AB">
        <w:rPr>
          <w:rFonts w:ascii="Times New Roman" w:hAnsi="Times New Roman" w:cs="Times New Roman"/>
          <w:sz w:val="22"/>
          <w:szCs w:val="22"/>
        </w:rPr>
        <w:t>Bu durum, özellikle kısa süreli projelerde uyuşmazlığın büyümesine yol açabilmektedir.</w:t>
      </w:r>
    </w:p>
    <w:p w14:paraId="25E11136" w14:textId="77777777" w:rsidR="00B31A35" w:rsidRPr="00D626AB" w:rsidRDefault="00B31A35" w:rsidP="00B31A35">
      <w:pPr>
        <w:jc w:val="both"/>
        <w:rPr>
          <w:rFonts w:ascii="Times New Roman" w:hAnsi="Times New Roman" w:cs="Times New Roman"/>
          <w:sz w:val="22"/>
          <w:szCs w:val="22"/>
        </w:rPr>
      </w:pPr>
      <w:r w:rsidRPr="00D626AB">
        <w:rPr>
          <w:rFonts w:ascii="Times New Roman" w:hAnsi="Times New Roman" w:cs="Times New Roman"/>
          <w:sz w:val="22"/>
          <w:szCs w:val="22"/>
        </w:rPr>
        <w:t>Her sözleşmenin sayfalarca olmasına gerek yoktur; önemli olan, ilişkinin temel unsurlarının açık şekilde belirlenmesidir.</w:t>
      </w:r>
    </w:p>
    <w:p w14:paraId="465E0C79" w14:textId="77777777" w:rsidR="00B31A35" w:rsidRPr="00D626AB" w:rsidRDefault="00B31A35" w:rsidP="00B31A35">
      <w:pPr>
        <w:jc w:val="both"/>
        <w:rPr>
          <w:rFonts w:ascii="Times New Roman" w:hAnsi="Times New Roman" w:cs="Times New Roman"/>
          <w:sz w:val="22"/>
          <w:szCs w:val="22"/>
        </w:rPr>
      </w:pPr>
      <w:r w:rsidRPr="00D626AB">
        <w:rPr>
          <w:rFonts w:ascii="Times New Roman" w:hAnsi="Times New Roman" w:cs="Times New Roman"/>
          <w:sz w:val="22"/>
          <w:szCs w:val="22"/>
        </w:rPr>
        <w:lastRenderedPageBreak/>
        <w:t>Teslim tarihlerinden ücret düzenine, fikri haklardan sorumluluk sınırlarına kadar birçok başlık tanımlanmadığında yorumlanabilir hale gelir.</w:t>
      </w:r>
    </w:p>
    <w:p w14:paraId="21115F37" w14:textId="77777777" w:rsidR="00B31A35" w:rsidRPr="00D626AB" w:rsidRDefault="00B31A35" w:rsidP="00B31A35">
      <w:pPr>
        <w:jc w:val="both"/>
        <w:rPr>
          <w:rFonts w:ascii="Times New Roman" w:hAnsi="Times New Roman" w:cs="Times New Roman"/>
          <w:sz w:val="22"/>
          <w:szCs w:val="22"/>
        </w:rPr>
      </w:pPr>
      <w:r w:rsidRPr="00D626AB">
        <w:rPr>
          <w:rFonts w:ascii="Times New Roman" w:hAnsi="Times New Roman" w:cs="Times New Roman"/>
          <w:sz w:val="22"/>
          <w:szCs w:val="22"/>
        </w:rPr>
        <w:t>Bu yorumlanabilirlik, riskin merkezindedir.</w:t>
      </w:r>
    </w:p>
    <w:p w14:paraId="327E91FB" w14:textId="77777777" w:rsidR="00B31A35" w:rsidRPr="00D626AB" w:rsidRDefault="00B31A35" w:rsidP="00B31A35">
      <w:pPr>
        <w:jc w:val="both"/>
        <w:rPr>
          <w:rFonts w:ascii="Times New Roman" w:hAnsi="Times New Roman" w:cs="Times New Roman"/>
          <w:b/>
          <w:bCs/>
          <w:sz w:val="22"/>
          <w:szCs w:val="22"/>
        </w:rPr>
      </w:pPr>
      <w:r w:rsidRPr="00D626AB">
        <w:rPr>
          <w:rFonts w:ascii="Times New Roman" w:hAnsi="Times New Roman" w:cs="Times New Roman"/>
          <w:b/>
          <w:bCs/>
          <w:sz w:val="22"/>
          <w:szCs w:val="22"/>
        </w:rPr>
        <w:t>Kısa süreli işlerde risk neden daha yüksektir?</w:t>
      </w:r>
    </w:p>
    <w:p w14:paraId="3CB30B39" w14:textId="77777777" w:rsidR="00B31A35" w:rsidRPr="00D626AB" w:rsidRDefault="00B31A35" w:rsidP="00B31A35">
      <w:pPr>
        <w:jc w:val="both"/>
        <w:rPr>
          <w:rFonts w:ascii="Times New Roman" w:hAnsi="Times New Roman" w:cs="Times New Roman"/>
          <w:sz w:val="22"/>
          <w:szCs w:val="22"/>
        </w:rPr>
      </w:pPr>
      <w:r w:rsidRPr="00D626AB">
        <w:rPr>
          <w:rFonts w:ascii="Times New Roman" w:hAnsi="Times New Roman" w:cs="Times New Roman"/>
          <w:sz w:val="22"/>
          <w:szCs w:val="22"/>
        </w:rPr>
        <w:t>Süre kısa olsa da işin niteliği, sonuçların etkisi ve taraf yükümlülükleri aynı yoğunlukla devam etmektedir.</w:t>
      </w:r>
    </w:p>
    <w:p w14:paraId="3BC256A9" w14:textId="77777777" w:rsidR="00B31A35" w:rsidRPr="00D626AB" w:rsidRDefault="00B31A35" w:rsidP="00B31A35">
      <w:pPr>
        <w:pStyle w:val="ListeParagraf"/>
        <w:numPr>
          <w:ilvl w:val="0"/>
          <w:numId w:val="3"/>
        </w:numPr>
        <w:ind w:left="0"/>
        <w:jc w:val="both"/>
        <w:rPr>
          <w:rFonts w:ascii="Times New Roman" w:hAnsi="Times New Roman" w:cs="Times New Roman"/>
          <w:sz w:val="22"/>
          <w:szCs w:val="22"/>
        </w:rPr>
      </w:pPr>
      <w:r w:rsidRPr="00D626AB">
        <w:rPr>
          <w:rFonts w:ascii="Times New Roman" w:hAnsi="Times New Roman" w:cs="Times New Roman"/>
          <w:sz w:val="22"/>
          <w:szCs w:val="22"/>
        </w:rPr>
        <w:t>Belirsizlikler genellikle şu alanlarda ortaya çıkmaktadır:</w:t>
      </w:r>
    </w:p>
    <w:p w14:paraId="298359C7" w14:textId="77777777" w:rsidR="00B31A35" w:rsidRPr="00D626AB" w:rsidRDefault="00B31A35" w:rsidP="00B31A35">
      <w:pPr>
        <w:pStyle w:val="ListeParagraf"/>
        <w:numPr>
          <w:ilvl w:val="0"/>
          <w:numId w:val="3"/>
        </w:numPr>
        <w:ind w:left="0"/>
        <w:jc w:val="both"/>
        <w:rPr>
          <w:rFonts w:ascii="Times New Roman" w:hAnsi="Times New Roman" w:cs="Times New Roman"/>
          <w:sz w:val="22"/>
          <w:szCs w:val="22"/>
        </w:rPr>
      </w:pPr>
      <w:r w:rsidRPr="00D626AB">
        <w:rPr>
          <w:rFonts w:ascii="Times New Roman" w:hAnsi="Times New Roman" w:cs="Times New Roman"/>
          <w:sz w:val="22"/>
          <w:szCs w:val="22"/>
        </w:rPr>
        <w:t>Teslimat kapsamının farklı yorumlanması,</w:t>
      </w:r>
    </w:p>
    <w:p w14:paraId="2F17EC9A" w14:textId="77777777" w:rsidR="00B31A35" w:rsidRPr="00D626AB" w:rsidRDefault="00B31A35" w:rsidP="00B31A35">
      <w:pPr>
        <w:pStyle w:val="ListeParagraf"/>
        <w:numPr>
          <w:ilvl w:val="0"/>
          <w:numId w:val="3"/>
        </w:numPr>
        <w:ind w:left="0"/>
        <w:jc w:val="both"/>
        <w:rPr>
          <w:rFonts w:ascii="Times New Roman" w:hAnsi="Times New Roman" w:cs="Times New Roman"/>
          <w:sz w:val="22"/>
          <w:szCs w:val="22"/>
        </w:rPr>
      </w:pPr>
      <w:r w:rsidRPr="00D626AB">
        <w:rPr>
          <w:rFonts w:ascii="Times New Roman" w:hAnsi="Times New Roman" w:cs="Times New Roman"/>
          <w:sz w:val="22"/>
          <w:szCs w:val="22"/>
        </w:rPr>
        <w:t>Fikri mülkiyet haklarının kime ait olduğu,</w:t>
      </w:r>
    </w:p>
    <w:p w14:paraId="43DCAA75" w14:textId="77777777" w:rsidR="00B31A35" w:rsidRPr="00D626AB" w:rsidRDefault="00B31A35" w:rsidP="00B31A35">
      <w:pPr>
        <w:pStyle w:val="ListeParagraf"/>
        <w:numPr>
          <w:ilvl w:val="0"/>
          <w:numId w:val="3"/>
        </w:numPr>
        <w:ind w:left="0"/>
        <w:jc w:val="both"/>
        <w:rPr>
          <w:rFonts w:ascii="Times New Roman" w:hAnsi="Times New Roman" w:cs="Times New Roman"/>
          <w:sz w:val="22"/>
          <w:szCs w:val="22"/>
        </w:rPr>
      </w:pPr>
      <w:r w:rsidRPr="00D626AB">
        <w:rPr>
          <w:rFonts w:ascii="Times New Roman" w:hAnsi="Times New Roman" w:cs="Times New Roman"/>
          <w:sz w:val="22"/>
          <w:szCs w:val="22"/>
        </w:rPr>
        <w:t>Ek işlerin ücrete dahil olup olmadığı,</w:t>
      </w:r>
    </w:p>
    <w:p w14:paraId="03843488" w14:textId="77777777" w:rsidR="00B31A35" w:rsidRPr="00D626AB" w:rsidRDefault="00B31A35" w:rsidP="00B31A35">
      <w:pPr>
        <w:pStyle w:val="ListeParagraf"/>
        <w:numPr>
          <w:ilvl w:val="0"/>
          <w:numId w:val="3"/>
        </w:numPr>
        <w:ind w:left="0"/>
        <w:jc w:val="both"/>
        <w:rPr>
          <w:rFonts w:ascii="Times New Roman" w:hAnsi="Times New Roman" w:cs="Times New Roman"/>
          <w:sz w:val="22"/>
          <w:szCs w:val="22"/>
        </w:rPr>
      </w:pPr>
      <w:r w:rsidRPr="00D626AB">
        <w:rPr>
          <w:rFonts w:ascii="Times New Roman" w:hAnsi="Times New Roman" w:cs="Times New Roman"/>
          <w:sz w:val="22"/>
          <w:szCs w:val="22"/>
        </w:rPr>
        <w:t>Gecikme halinde sorumluluğun nasıl doğacağı.</w:t>
      </w:r>
    </w:p>
    <w:p w14:paraId="01DFF9B6" w14:textId="77777777" w:rsidR="00B31A35" w:rsidRPr="00D626AB" w:rsidRDefault="00B31A35" w:rsidP="00B31A35">
      <w:pPr>
        <w:jc w:val="both"/>
        <w:rPr>
          <w:rFonts w:ascii="Times New Roman" w:hAnsi="Times New Roman" w:cs="Times New Roman"/>
          <w:sz w:val="22"/>
          <w:szCs w:val="22"/>
        </w:rPr>
      </w:pPr>
      <w:r w:rsidRPr="00D626AB">
        <w:rPr>
          <w:rFonts w:ascii="Times New Roman" w:hAnsi="Times New Roman" w:cs="Times New Roman"/>
          <w:sz w:val="22"/>
          <w:szCs w:val="22"/>
        </w:rPr>
        <w:t>Bu başlıklar kısa sürede çözülecek gibi görünse de, uygulamada en sık uyuşmazlık çıkaran konular arasında yer almaktadır.</w:t>
      </w:r>
    </w:p>
    <w:p w14:paraId="087B665B" w14:textId="77777777" w:rsidR="00B31A35" w:rsidRPr="00D626AB" w:rsidRDefault="00B31A35" w:rsidP="00B31A35">
      <w:pPr>
        <w:jc w:val="both"/>
        <w:rPr>
          <w:rFonts w:ascii="Times New Roman" w:hAnsi="Times New Roman" w:cs="Times New Roman"/>
          <w:b/>
          <w:bCs/>
          <w:sz w:val="22"/>
          <w:szCs w:val="22"/>
        </w:rPr>
      </w:pPr>
      <w:r w:rsidRPr="00D626AB">
        <w:rPr>
          <w:rFonts w:ascii="Times New Roman" w:hAnsi="Times New Roman" w:cs="Times New Roman"/>
          <w:b/>
          <w:bCs/>
          <w:sz w:val="22"/>
          <w:szCs w:val="22"/>
        </w:rPr>
        <w:t>Güvenlik süreden değil, baştan kurulan düzenden doğmaktadır</w:t>
      </w:r>
    </w:p>
    <w:p w14:paraId="01125D1F" w14:textId="77777777" w:rsidR="00B31A35" w:rsidRPr="00D626AB" w:rsidRDefault="00B31A35" w:rsidP="00B31A35">
      <w:pPr>
        <w:jc w:val="both"/>
        <w:rPr>
          <w:rFonts w:ascii="Times New Roman" w:hAnsi="Times New Roman" w:cs="Times New Roman"/>
          <w:sz w:val="22"/>
          <w:szCs w:val="22"/>
        </w:rPr>
      </w:pPr>
      <w:r w:rsidRPr="00D626AB">
        <w:rPr>
          <w:rFonts w:ascii="Times New Roman" w:hAnsi="Times New Roman" w:cs="Times New Roman"/>
          <w:sz w:val="22"/>
          <w:szCs w:val="22"/>
        </w:rPr>
        <w:t>Hukuki güvenlik; projenin büyüklüğünden değil, taraflar arasındaki çerçevenin açıklığından kaynaklanmaktadır.</w:t>
      </w:r>
    </w:p>
    <w:p w14:paraId="388B313D" w14:textId="77777777" w:rsidR="00B31A35" w:rsidRPr="00D626AB" w:rsidRDefault="00B31A35" w:rsidP="00B31A35">
      <w:pPr>
        <w:jc w:val="both"/>
        <w:rPr>
          <w:rFonts w:ascii="Times New Roman" w:hAnsi="Times New Roman" w:cs="Times New Roman"/>
          <w:sz w:val="22"/>
          <w:szCs w:val="22"/>
        </w:rPr>
      </w:pPr>
      <w:r w:rsidRPr="00D626AB">
        <w:rPr>
          <w:rFonts w:ascii="Times New Roman" w:hAnsi="Times New Roman" w:cs="Times New Roman"/>
          <w:sz w:val="22"/>
          <w:szCs w:val="22"/>
        </w:rPr>
        <w:t>Başlangıçta belirlenen net hükümler, işin ilerleyişini öngörülebilir kılmakta ve riskleri azaltmaktadır.</w:t>
      </w:r>
    </w:p>
    <w:p w14:paraId="4EECCA94" w14:textId="77777777" w:rsidR="00B31A35" w:rsidRPr="00D626AB" w:rsidRDefault="00B31A35" w:rsidP="00B31A35">
      <w:pPr>
        <w:jc w:val="both"/>
        <w:rPr>
          <w:rFonts w:ascii="Times New Roman" w:hAnsi="Times New Roman" w:cs="Times New Roman"/>
          <w:sz w:val="22"/>
          <w:szCs w:val="22"/>
        </w:rPr>
      </w:pPr>
      <w:r w:rsidRPr="00D626AB">
        <w:rPr>
          <w:rFonts w:ascii="Times New Roman" w:hAnsi="Times New Roman" w:cs="Times New Roman"/>
          <w:sz w:val="22"/>
          <w:szCs w:val="22"/>
        </w:rPr>
        <w:t>Bu nedenle kısa süreli projelerde dahi çerçeveyi belirleyen düzenlemeler yapılmalıdır.</w:t>
      </w:r>
    </w:p>
    <w:p w14:paraId="6D2470DF" w14:textId="77777777" w:rsidR="00B31A35" w:rsidRPr="00D626AB" w:rsidRDefault="00B31A35" w:rsidP="00B31A35">
      <w:pPr>
        <w:jc w:val="both"/>
        <w:rPr>
          <w:rFonts w:ascii="Times New Roman" w:hAnsi="Times New Roman" w:cs="Times New Roman"/>
          <w:sz w:val="22"/>
          <w:szCs w:val="22"/>
        </w:rPr>
      </w:pPr>
      <w:r w:rsidRPr="00D626AB">
        <w:rPr>
          <w:rFonts w:ascii="Times New Roman" w:hAnsi="Times New Roman" w:cs="Times New Roman"/>
          <w:sz w:val="22"/>
          <w:szCs w:val="22"/>
        </w:rPr>
        <w:t>Süre, hukuki niteliği değiştirmemektedir; düzen, süreyi güvenli kılmaktadır.</w:t>
      </w:r>
    </w:p>
    <w:p w14:paraId="687D3AE7" w14:textId="77777777" w:rsidR="00684018" w:rsidRPr="00D626AB" w:rsidRDefault="00684018" w:rsidP="00684018">
      <w:pPr>
        <w:spacing w:after="0"/>
        <w:rPr>
          <w:rFonts w:ascii="Times New Roman" w:hAnsi="Times New Roman" w:cs="Times New Roman"/>
          <w:sz w:val="22"/>
          <w:szCs w:val="22"/>
        </w:rPr>
      </w:pPr>
    </w:p>
    <w:sectPr w:rsidR="00684018" w:rsidRPr="00D626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7564A"/>
    <w:multiLevelType w:val="hybridMultilevel"/>
    <w:tmpl w:val="4C94526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3A0D49F5"/>
    <w:multiLevelType w:val="multilevel"/>
    <w:tmpl w:val="13260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ED783E"/>
    <w:multiLevelType w:val="hybridMultilevel"/>
    <w:tmpl w:val="0464F136"/>
    <w:lvl w:ilvl="0" w:tplc="5D7CBFCC">
      <w:start w:val="1"/>
      <w:numFmt w:val="decimal"/>
      <w:lvlText w:val="%1."/>
      <w:lvlJc w:val="left"/>
      <w:pPr>
        <w:ind w:left="720" w:hanging="360"/>
      </w:pPr>
      <w:rPr>
        <w:rFonts w:ascii="Times New Roman" w:hAnsi="Times New Roman" w:cs="Times New Roman"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799910675">
    <w:abstractNumId w:val="2"/>
  </w:num>
  <w:num w:numId="2" w16cid:durableId="1982692254">
    <w:abstractNumId w:val="1"/>
  </w:num>
  <w:num w:numId="3" w16cid:durableId="641036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AA4"/>
    <w:rsid w:val="00047941"/>
    <w:rsid w:val="001527A2"/>
    <w:rsid w:val="00152B10"/>
    <w:rsid w:val="00166922"/>
    <w:rsid w:val="00272AD9"/>
    <w:rsid w:val="0034422A"/>
    <w:rsid w:val="005B0D60"/>
    <w:rsid w:val="00684018"/>
    <w:rsid w:val="00771D9F"/>
    <w:rsid w:val="007908AD"/>
    <w:rsid w:val="007B5F8B"/>
    <w:rsid w:val="008E3CC5"/>
    <w:rsid w:val="008F5A4F"/>
    <w:rsid w:val="00B31A35"/>
    <w:rsid w:val="00B64AA4"/>
    <w:rsid w:val="00C17D27"/>
    <w:rsid w:val="00C551B4"/>
    <w:rsid w:val="00D626AB"/>
    <w:rsid w:val="00D73490"/>
    <w:rsid w:val="00E12008"/>
    <w:rsid w:val="00E7482B"/>
    <w:rsid w:val="00E96649"/>
    <w:rsid w:val="00F001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61C4B"/>
  <w15:chartTrackingRefBased/>
  <w15:docId w15:val="{1B940E48-8100-486C-8E2F-85B637E19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64A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B64A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B64AA4"/>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B64AA4"/>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B64AA4"/>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B64AA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64AA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64AA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64AA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64AA4"/>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B64AA4"/>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B64AA4"/>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64AA4"/>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64AA4"/>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64AA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64AA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64AA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64AA4"/>
    <w:rPr>
      <w:rFonts w:eastAsiaTheme="majorEastAsia" w:cstheme="majorBidi"/>
      <w:color w:val="272727" w:themeColor="text1" w:themeTint="D8"/>
    </w:rPr>
  </w:style>
  <w:style w:type="paragraph" w:styleId="KonuBal">
    <w:name w:val="Title"/>
    <w:basedOn w:val="Normal"/>
    <w:next w:val="Normal"/>
    <w:link w:val="KonuBalChar"/>
    <w:uiPriority w:val="10"/>
    <w:qFormat/>
    <w:rsid w:val="00B64A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64AA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64AA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64AA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64AA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64AA4"/>
    <w:rPr>
      <w:i/>
      <w:iCs/>
      <w:color w:val="404040" w:themeColor="text1" w:themeTint="BF"/>
    </w:rPr>
  </w:style>
  <w:style w:type="paragraph" w:styleId="ListeParagraf">
    <w:name w:val="List Paragraph"/>
    <w:basedOn w:val="Normal"/>
    <w:uiPriority w:val="34"/>
    <w:qFormat/>
    <w:rsid w:val="00B64AA4"/>
    <w:pPr>
      <w:ind w:left="720"/>
      <w:contextualSpacing/>
    </w:pPr>
  </w:style>
  <w:style w:type="character" w:styleId="GlVurgulama">
    <w:name w:val="Intense Emphasis"/>
    <w:basedOn w:val="VarsaylanParagrafYazTipi"/>
    <w:uiPriority w:val="21"/>
    <w:qFormat/>
    <w:rsid w:val="00B64AA4"/>
    <w:rPr>
      <w:i/>
      <w:iCs/>
      <w:color w:val="0F4761" w:themeColor="accent1" w:themeShade="BF"/>
    </w:rPr>
  </w:style>
  <w:style w:type="paragraph" w:styleId="GlAlnt">
    <w:name w:val="Intense Quote"/>
    <w:basedOn w:val="Normal"/>
    <w:next w:val="Normal"/>
    <w:link w:val="GlAlntChar"/>
    <w:uiPriority w:val="30"/>
    <w:qFormat/>
    <w:rsid w:val="00B64A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B64AA4"/>
    <w:rPr>
      <w:i/>
      <w:iCs/>
      <w:color w:val="0F4761" w:themeColor="accent1" w:themeShade="BF"/>
    </w:rPr>
  </w:style>
  <w:style w:type="character" w:styleId="GlBavuru">
    <w:name w:val="Intense Reference"/>
    <w:basedOn w:val="VarsaylanParagrafYazTipi"/>
    <w:uiPriority w:val="32"/>
    <w:qFormat/>
    <w:rsid w:val="00B64A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BE2FA2FC88FC524789DD26CCF4374E84" ma:contentTypeVersion="14" ma:contentTypeDescription="Yeni belge oluşturun." ma:contentTypeScope="" ma:versionID="09a22b8d39b58220fd4638cc93f66bab">
  <xsd:schema xmlns:xsd="http://www.w3.org/2001/XMLSchema" xmlns:xs="http://www.w3.org/2001/XMLSchema" xmlns:p="http://schemas.microsoft.com/office/2006/metadata/properties" xmlns:ns2="008e3b87-2b6f-4754-91c5-38b6e71c06dc" xmlns:ns3="a40ce3ce-1b1e-4805-af8a-69f5481a4fc0" targetNamespace="http://schemas.microsoft.com/office/2006/metadata/properties" ma:root="true" ma:fieldsID="e45aa18e1b8a0fa93e9fde8702644634" ns2:_="" ns3:_="">
    <xsd:import namespace="008e3b87-2b6f-4754-91c5-38b6e71c06dc"/>
    <xsd:import namespace="a40ce3ce-1b1e-4805-af8a-69f5481a4f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ari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e3b87-2b6f-4754-91c5-38b6e71c0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arih" ma:index="12" nillable="true" ma:displayName="Tarih" ma:format="DateOnly" ma:internalName="Tarih">
      <xsd:simpleType>
        <xsd:restriction base="dms:DateTime"/>
      </xsd:simpleType>
    </xsd:element>
    <xsd:element name="lcf76f155ced4ddcb4097134ff3c332f" ma:index="14" nillable="true" ma:taxonomy="true" ma:internalName="lcf76f155ced4ddcb4097134ff3c332f" ma:taxonomyFieldName="MediaServiceImageTags" ma:displayName="Resim Etiketleri" ma:readOnly="false" ma:fieldId="{5cf76f15-5ced-4ddc-b409-7134ff3c332f}" ma:taxonomyMulti="true" ma:sspId="15108f32-d601-4035-8541-d603673fb50d"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0ce3ce-1b1e-4805-af8a-69f5481a4fc0" elementFormDefault="qualified">
    <xsd:import namespace="http://schemas.microsoft.com/office/2006/documentManagement/types"/>
    <xsd:import namespace="http://schemas.microsoft.com/office/infopath/2007/PartnerControls"/>
    <xsd:element name="TaxCatchAll" ma:index="15" nillable="true" ma:displayName="Tüm Sınıflandırmayı Yakala Sütunu" ma:hidden="true" ma:list="{6d246884-f67c-478c-9d07-9db6d745e2f5}" ma:internalName="TaxCatchAll" ma:showField="CatchAllData" ma:web="a40ce3ce-1b1e-4805-af8a-69f5481a4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rih xmlns="008e3b87-2b6f-4754-91c5-38b6e71c06dc" xsi:nil="true"/>
    <lcf76f155ced4ddcb4097134ff3c332f xmlns="008e3b87-2b6f-4754-91c5-38b6e71c06dc">
      <Terms xmlns="http://schemas.microsoft.com/office/infopath/2007/PartnerControls"/>
    </lcf76f155ced4ddcb4097134ff3c332f>
    <TaxCatchAll xmlns="a40ce3ce-1b1e-4805-af8a-69f5481a4fc0" xsi:nil="true"/>
  </documentManagement>
</p:properties>
</file>

<file path=customXml/itemProps1.xml><?xml version="1.0" encoding="utf-8"?>
<ds:datastoreItem xmlns:ds="http://schemas.openxmlformats.org/officeDocument/2006/customXml" ds:itemID="{B9949724-4636-46CA-A466-00DE2529BCFC}"/>
</file>

<file path=customXml/itemProps2.xml><?xml version="1.0" encoding="utf-8"?>
<ds:datastoreItem xmlns:ds="http://schemas.openxmlformats.org/officeDocument/2006/customXml" ds:itemID="{2650773F-2B63-445A-9D0E-DC19EB77639C}"/>
</file>

<file path=customXml/itemProps3.xml><?xml version="1.0" encoding="utf-8"?>
<ds:datastoreItem xmlns:ds="http://schemas.openxmlformats.org/officeDocument/2006/customXml" ds:itemID="{81B2A304-1116-4362-91CC-3DC63ABD3C6A}"/>
</file>

<file path=docProps/app.xml><?xml version="1.0" encoding="utf-8"?>
<Properties xmlns="http://schemas.openxmlformats.org/officeDocument/2006/extended-properties" xmlns:vt="http://schemas.openxmlformats.org/officeDocument/2006/docPropsVTypes">
  <Template>Normal</Template>
  <TotalTime>5</TotalTime>
  <Pages>12</Pages>
  <Words>3528</Words>
  <Characters>24736</Characters>
  <Application>Microsoft Office Word</Application>
  <DocSecurity>0</DocSecurity>
  <Lines>426</Lines>
  <Paragraphs>250</Paragraphs>
  <ScaleCrop>false</ScaleCrop>
  <Company/>
  <LinksUpToDate>false</LinksUpToDate>
  <CharactersWithSpaces>28014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Pelinsu Tuza</dc:creator>
  <cp:keywords/>
  <dc:description/>
  <cp:lastModifiedBy>Pelinsu Tuza</cp:lastModifiedBy>
  <cp:revision>9</cp:revision>
  <dcterms:created xsi:type="dcterms:W3CDTF">2026-04-17T14:27:00Z</dcterms:created>
  <dcterms:modified xsi:type="dcterms:W3CDTF">2026-04-17T16:51:00Z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0x010100BE2FA2FC88FC524789DD26CCF4374E84</vt:lpwstr>
  </property>
</Properties>
</file>