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B4204" w14:textId="77102855" w:rsidR="000F1714" w:rsidRPr="004E4043" w:rsidRDefault="000F1714" w:rsidP="005F01B9">
      <w:pPr>
        <w:ind w:left="720" w:hanging="360"/>
        <w:jc w:val="right"/>
        <w:rPr>
          <w:rFonts w:ascii="Times New Roman" w:hAnsi="Times New Roman" w:cs="Times New Roman"/>
          <w:b/>
          <w:bCs/>
        </w:rPr>
      </w:pPr>
      <w:r w:rsidRPr="004E4043">
        <w:rPr>
          <w:rFonts w:ascii="Times New Roman" w:hAnsi="Times New Roman" w:cs="Times New Roman"/>
          <w:b/>
          <w:bCs/>
        </w:rPr>
        <w:t>EYLÜL-NİSAN 2026</w:t>
      </w:r>
    </w:p>
    <w:p w14:paraId="44082B64" w14:textId="7A551663" w:rsidR="00304073" w:rsidRDefault="00304073" w:rsidP="005F01B9">
      <w:pPr>
        <w:numPr>
          <w:ilvl w:val="0"/>
          <w:numId w:val="3"/>
        </w:numPr>
        <w:jc w:val="center"/>
        <w:rPr>
          <w:rFonts w:ascii="Times New Roman" w:hAnsi="Times New Roman" w:cs="Times New Roman"/>
          <w:b/>
          <w:bCs/>
          <w:sz w:val="28"/>
          <w:szCs w:val="28"/>
        </w:rPr>
      </w:pPr>
      <w:r w:rsidRPr="00304073">
        <w:rPr>
          <w:rFonts w:ascii="Times New Roman" w:hAnsi="Times New Roman" w:cs="Times New Roman"/>
          <w:b/>
          <w:bCs/>
          <w:sz w:val="28"/>
          <w:szCs w:val="28"/>
        </w:rPr>
        <w:t>İŞ HUKUKU VE İŞVEREN YÜKÜMLÜLÜKLERİ</w:t>
      </w:r>
    </w:p>
    <w:p w14:paraId="42C219B1" w14:textId="77777777" w:rsidR="00C2431E" w:rsidRDefault="00C2431E" w:rsidP="00C2431E">
      <w:pPr>
        <w:jc w:val="right"/>
        <w:rPr>
          <w:rFonts w:ascii="Times New Roman" w:hAnsi="Times New Roman" w:cs="Times New Roman"/>
          <w:b/>
          <w:bCs/>
          <w:sz w:val="22"/>
          <w:szCs w:val="22"/>
        </w:rPr>
      </w:pPr>
    </w:p>
    <w:p w14:paraId="7BF37D08" w14:textId="24D2B6F8" w:rsidR="0054089B" w:rsidRPr="0072190E" w:rsidRDefault="00C2431E" w:rsidP="00C2431E">
      <w:pPr>
        <w:jc w:val="right"/>
        <w:rPr>
          <w:rFonts w:ascii="Times New Roman" w:hAnsi="Times New Roman" w:cs="Times New Roman"/>
          <w:b/>
          <w:bCs/>
          <w:sz w:val="22"/>
          <w:szCs w:val="22"/>
        </w:rPr>
      </w:pPr>
      <w:r>
        <w:rPr>
          <w:rFonts w:ascii="Times New Roman" w:hAnsi="Times New Roman" w:cs="Times New Roman"/>
          <w:b/>
          <w:bCs/>
          <w:sz w:val="22"/>
          <w:szCs w:val="22"/>
        </w:rPr>
        <w:t>EYLÜL 2025</w:t>
      </w:r>
    </w:p>
    <w:p w14:paraId="5F8D5C7F" w14:textId="77777777" w:rsidR="009766A0" w:rsidRDefault="009766A0" w:rsidP="000F1714">
      <w:pPr>
        <w:pStyle w:val="ListeParagraf"/>
        <w:numPr>
          <w:ilvl w:val="0"/>
          <w:numId w:val="5"/>
        </w:numPr>
        <w:spacing w:after="0"/>
        <w:ind w:left="284"/>
        <w:jc w:val="both"/>
        <w:rPr>
          <w:rFonts w:ascii="Times New Roman" w:hAnsi="Times New Roman" w:cs="Times New Roman"/>
          <w:sz w:val="22"/>
          <w:szCs w:val="22"/>
        </w:rPr>
      </w:pPr>
      <w:r w:rsidRPr="0072190E">
        <w:rPr>
          <w:rFonts w:ascii="Times New Roman" w:hAnsi="Times New Roman" w:cs="Times New Roman"/>
          <w:b/>
          <w:bCs/>
          <w:sz w:val="22"/>
          <w:szCs w:val="22"/>
        </w:rPr>
        <w:t xml:space="preserve">ÇALIŞAN TAZMİNATLARI VE HUKUKİ DÜZENLEMELER </w:t>
      </w:r>
    </w:p>
    <w:p w14:paraId="0FB719B5" w14:textId="77777777" w:rsidR="00CE4199" w:rsidRDefault="00CE4199" w:rsidP="000F1714">
      <w:pPr>
        <w:spacing w:after="0"/>
        <w:jc w:val="both"/>
        <w:rPr>
          <w:rFonts w:ascii="Times New Roman" w:hAnsi="Times New Roman" w:cs="Times New Roman"/>
          <w:sz w:val="22"/>
          <w:szCs w:val="22"/>
        </w:rPr>
      </w:pPr>
    </w:p>
    <w:p w14:paraId="1C94DF64"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Çalışma ilişkilerinde tazminata ilişkin hükümler, iş sözleşmesinin sona ermesi halinde tarafların hak ve sorumluluklarını netleştirmek amacıyla düzenlenmiştir. Tazminat türleri, fesih sebebine ve tarafların yükümlülüklerine göre farklılık gösterirken; sistemin temelinde işçinin yıllar boyunca verdiği emeğin karşılığını güvence altına almak, işveren açısından ise hangi koşullarda ödeme yükümlülüğü doğacağını açıkça belirlemek vardır.</w:t>
      </w:r>
    </w:p>
    <w:p w14:paraId="135467EA" w14:textId="77777777" w:rsidR="00132E76" w:rsidRPr="0072190E" w:rsidRDefault="00132E76" w:rsidP="000F1714">
      <w:pPr>
        <w:spacing w:after="0"/>
        <w:jc w:val="both"/>
        <w:rPr>
          <w:rFonts w:ascii="Times New Roman" w:hAnsi="Times New Roman" w:cs="Times New Roman"/>
          <w:sz w:val="22"/>
          <w:szCs w:val="22"/>
        </w:rPr>
      </w:pPr>
    </w:p>
    <w:p w14:paraId="164ABE45"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b/>
          <w:bCs/>
          <w:sz w:val="22"/>
          <w:szCs w:val="22"/>
        </w:rPr>
        <w:t>Kıdem Tazminatı</w:t>
      </w:r>
    </w:p>
    <w:p w14:paraId="4C7226B8"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1475 sayılı İş Kanunu’nun yürürlükteki 14. maddesine göre, işçi aynı işverene bağlı olarak en az bir yıl çalışmışsa ve iş sözleşmesi belirli koşullarla sona ermişse kıdem tazminatına hak kazanır. Bu koşullar; işverenin haklı sebep olmaksızın sözleşmeyi feshetmesi, işçinin kanunda belirtilen haklı sebeplerle işten ayrılması, askerlik hizmeti nedeniyle işten ayrılması, kadın işçinin evlendiği tarihten itibaren bir yıl içinde kendi isteğiyle işten ayrılması, işçinin emeklilik, malullük veya yaşlılık aylığına hak kazanması ya da işçinin ölümü şeklinde sıralanır.</w:t>
      </w:r>
    </w:p>
    <w:p w14:paraId="52444FE3"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4857 sayılı İş Kanunu’nun 25. maddesi, işverenin haklı nedenle derhal fesih hakkını düzenler. Buna göre işveren; işçinin ahlak ve iyi niyet kurallarına aykırı davranışları, işyerinde düzeni bozacak tutumları, devamsızlığı, iş güvenliğini tehlikeye düşüren fiilleri veya işverenin malına zarar vermesi gibi hallerde iş sözleşmesini bildirimsiz ve tazminatsız olarak feshedebilir.</w:t>
      </w:r>
    </w:p>
    <w:p w14:paraId="21B998A6"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Kıdem tazminatı, işçinin işe başladığı tarihten itibaren geçen her tam yıl için 30 günlük brüt ücreti üzerinden hesaplanır. Bir yıldan fazla ama tam yıl olmayan süreler için de aynı esas uygulanır.</w:t>
      </w:r>
    </w:p>
    <w:p w14:paraId="6C56D1E2" w14:textId="77777777" w:rsidR="00132E76" w:rsidRPr="0072190E" w:rsidRDefault="00132E76" w:rsidP="000F1714">
      <w:pPr>
        <w:spacing w:after="0"/>
        <w:jc w:val="both"/>
        <w:rPr>
          <w:rFonts w:ascii="Times New Roman" w:hAnsi="Times New Roman" w:cs="Times New Roman"/>
          <w:sz w:val="22"/>
          <w:szCs w:val="22"/>
        </w:rPr>
      </w:pPr>
    </w:p>
    <w:p w14:paraId="6821E255"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b/>
          <w:bCs/>
          <w:sz w:val="22"/>
          <w:szCs w:val="22"/>
        </w:rPr>
        <w:t>İhbar Tazminatı</w:t>
      </w:r>
    </w:p>
    <w:p w14:paraId="76F4C266"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 xml:space="preserve">4857 sayılı İş Kanunu’nun 17. maddesi, belirsiz süreli iş sözleşmelerinin feshi için taraflara bildirim yükümlülüğü getirmektedir. Buna göre, iş sözleşmesinin sona erdirilmesinden önce karşı tarafa fesih bildiriminin yapılması gerekir. Bildirim süreleri işçinin kıdemine göre farklılık göstermektedir: İşçinin aynı işverene bağlı çalışma süresi altı aydan az ise iki hafta, altı aydan </w:t>
      </w:r>
      <w:proofErr w:type="spellStart"/>
      <w:r w:rsidRPr="0072190E">
        <w:rPr>
          <w:rFonts w:ascii="Times New Roman" w:hAnsi="Times New Roman" w:cs="Times New Roman"/>
          <w:sz w:val="22"/>
          <w:szCs w:val="22"/>
        </w:rPr>
        <w:t>birbuçuk</w:t>
      </w:r>
      <w:proofErr w:type="spellEnd"/>
      <w:r w:rsidRPr="0072190E">
        <w:rPr>
          <w:rFonts w:ascii="Times New Roman" w:hAnsi="Times New Roman" w:cs="Times New Roman"/>
          <w:sz w:val="22"/>
          <w:szCs w:val="22"/>
        </w:rPr>
        <w:t xml:space="preserve"> yıla kadar ise dört hafta, </w:t>
      </w:r>
      <w:proofErr w:type="spellStart"/>
      <w:r w:rsidRPr="0072190E">
        <w:rPr>
          <w:rFonts w:ascii="Times New Roman" w:hAnsi="Times New Roman" w:cs="Times New Roman"/>
          <w:sz w:val="22"/>
          <w:szCs w:val="22"/>
        </w:rPr>
        <w:t>birbuçuk</w:t>
      </w:r>
      <w:proofErr w:type="spellEnd"/>
      <w:r w:rsidRPr="0072190E">
        <w:rPr>
          <w:rFonts w:ascii="Times New Roman" w:hAnsi="Times New Roman" w:cs="Times New Roman"/>
          <w:sz w:val="22"/>
          <w:szCs w:val="22"/>
        </w:rPr>
        <w:t xml:space="preserve"> yıldan üç yıla kadar ise altı hafta, üç yıldan fazla ise sekiz hafta sonra iş sözleşmesi sona ermiş sayılır. Bu süreler kanunda asgari olarak belirlenmiş olup, tarafların anlaşmasıyla artırılabilir.</w:t>
      </w:r>
    </w:p>
    <w:p w14:paraId="26D2B5FF"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Kanunda öngörülen bu süreler gözetilmeksizin yapılan fesihler halinde, fesih bildiriminde bulunmayan taraf, karşı tarafa ihbar süresine karşılık gelen ücret tutarında ihbar tazminatı ödemekle yükümlüdür. Bu düzenleme, hem işçiye yeni bir iş araması için makul süre tanımayı hem de işverenin iş gücü planlamasını koruma altına almayı amaçlamaktadır.</w:t>
      </w:r>
    </w:p>
    <w:p w14:paraId="06FA878E" w14:textId="77777777" w:rsidR="00132E76" w:rsidRPr="0072190E" w:rsidRDefault="00132E76" w:rsidP="000F1714">
      <w:pPr>
        <w:spacing w:after="0"/>
        <w:jc w:val="both"/>
        <w:rPr>
          <w:rFonts w:ascii="Times New Roman" w:hAnsi="Times New Roman" w:cs="Times New Roman"/>
          <w:sz w:val="22"/>
          <w:szCs w:val="22"/>
        </w:rPr>
      </w:pPr>
    </w:p>
    <w:p w14:paraId="7C9CC3B0"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b/>
          <w:bCs/>
          <w:sz w:val="22"/>
          <w:szCs w:val="22"/>
        </w:rPr>
        <w:t>İşe İade ve Tazminat</w:t>
      </w:r>
    </w:p>
    <w:p w14:paraId="250C1ECA"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4857 sayılı İş Kanunu’nun 18 ila 21. maddeleri iş güvencesine ilişkin hükümleri düzenlemektedir. Kanuna göre, otuz veya daha fazla işçi çalıştırılan işyerlerinde en az altı aylık kıdeme sahip işçinin belirsiz süreli iş sözleşmesi, işçinin yeterliliğinden veya davranışlarından ya da işletmenin, işyerinin veya işin gereklerinden kaynaklanan geçerli bir sebep olmaksızın feshedilemez.</w:t>
      </w:r>
    </w:p>
    <w:p w14:paraId="5D05FBEE"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lastRenderedPageBreak/>
        <w:t>Geçerli sebep olmadan yapılan fesih halinde işçi, fesih bildiriminin tebliğinden itibaren bir ay içinde işe iade davası açabilir. Mahkeme fesih sebebini inceler; geçerli sebep bulunmadığını tespit ederse feshin geçersizliğine ve işçinin işe iadesine karar verebilir.</w:t>
      </w:r>
    </w:p>
    <w:p w14:paraId="4C71CD3F" w14:textId="77777777" w:rsidR="000F1714" w:rsidRPr="0072190E" w:rsidRDefault="000F1714" w:rsidP="000F1714">
      <w:pPr>
        <w:spacing w:after="0"/>
        <w:jc w:val="both"/>
        <w:rPr>
          <w:rFonts w:ascii="Times New Roman" w:hAnsi="Times New Roman" w:cs="Times New Roman"/>
          <w:sz w:val="22"/>
          <w:szCs w:val="22"/>
        </w:rPr>
      </w:pPr>
    </w:p>
    <w:p w14:paraId="2D9889FC" w14:textId="2FC3ED9C" w:rsidR="000F1714"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Mahkemenin işe iade kararına rağmen işveren işçiyi bir ay içinde işe başlatmazsa, işçiye en az dört, en çok sekiz aylık ücreti tutarında tazminat ödenir. Ayrıca işçiye, kararın kesinleşmesine kadar çalıştırılmadığı süre için en çok dört aya kadar doğmuş bulunan ücret ve diğer hakları da ödenir.</w:t>
      </w:r>
    </w:p>
    <w:p w14:paraId="1DEC61B6" w14:textId="77777777" w:rsidR="000F1714" w:rsidRPr="0072190E" w:rsidRDefault="000F1714" w:rsidP="000F1714">
      <w:pPr>
        <w:spacing w:after="0"/>
        <w:jc w:val="both"/>
        <w:rPr>
          <w:rFonts w:ascii="Times New Roman" w:hAnsi="Times New Roman" w:cs="Times New Roman"/>
          <w:sz w:val="22"/>
          <w:szCs w:val="22"/>
        </w:rPr>
      </w:pPr>
    </w:p>
    <w:p w14:paraId="69D5712F"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b/>
          <w:bCs/>
          <w:sz w:val="22"/>
          <w:szCs w:val="22"/>
        </w:rPr>
        <w:t>Ayrımcılık ve Kötü Niyet Tazminatı</w:t>
      </w:r>
    </w:p>
    <w:p w14:paraId="3C640492"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4857 sayılı İş Kanunu’nun 5. maddesi uyarınca, iş ilişkisinde dil, ırk, cinsiyet, siyasal düşünce, felsefî inanç, din, mezhep ve benzeri sebeplere dayalı ayrım yapılamaz. İş ilişkisinde veya sona ermesinde bu hükümlere aykırı davranılması halinde işçi, dört aya kadar ücreti tutarında uygun bir tazminata hükmedilmesini isteyebilir. Ayrıca işçi, ayrımcılık nedeniyle mahrum kaldığı diğer haklarını da talep etme hakkına sahiptir.</w:t>
      </w:r>
    </w:p>
    <w:p w14:paraId="4FEA8ED3" w14:textId="77777777" w:rsidR="000F1714" w:rsidRPr="0072190E" w:rsidRDefault="000F1714" w:rsidP="000F1714">
      <w:pPr>
        <w:spacing w:after="0"/>
        <w:jc w:val="both"/>
        <w:rPr>
          <w:rFonts w:ascii="Times New Roman" w:hAnsi="Times New Roman" w:cs="Times New Roman"/>
          <w:sz w:val="22"/>
          <w:szCs w:val="22"/>
        </w:rPr>
      </w:pPr>
    </w:p>
    <w:p w14:paraId="64102F7A"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Kanunun 17. maddesine göre ise işveren, iş sözleşmesini bildirim şartına uymadan ve kötü niyetle feshederse, bildirim süresine ait ücretin üç katı tutarında tazminat ödemekle yükümlüdür.</w:t>
      </w:r>
    </w:p>
    <w:p w14:paraId="707B64EB" w14:textId="77777777" w:rsidR="000F1714" w:rsidRPr="0072190E" w:rsidRDefault="000F1714" w:rsidP="000F1714">
      <w:pPr>
        <w:spacing w:after="0"/>
        <w:jc w:val="both"/>
        <w:rPr>
          <w:rFonts w:ascii="Times New Roman" w:hAnsi="Times New Roman" w:cs="Times New Roman"/>
          <w:sz w:val="22"/>
          <w:szCs w:val="22"/>
        </w:rPr>
      </w:pPr>
    </w:p>
    <w:p w14:paraId="107DC77A" w14:textId="2C809FA7" w:rsidR="000F1714" w:rsidRPr="0072190E" w:rsidRDefault="0072190E" w:rsidP="000F1714">
      <w:pPr>
        <w:spacing w:after="0"/>
        <w:jc w:val="both"/>
        <w:rPr>
          <w:rFonts w:ascii="Times New Roman" w:hAnsi="Times New Roman" w:cs="Times New Roman"/>
          <w:b/>
          <w:bCs/>
          <w:sz w:val="22"/>
          <w:szCs w:val="22"/>
        </w:rPr>
      </w:pPr>
      <w:r w:rsidRPr="0072190E">
        <w:rPr>
          <w:rFonts w:ascii="Times New Roman" w:hAnsi="Times New Roman" w:cs="Times New Roman"/>
          <w:b/>
          <w:bCs/>
          <w:sz w:val="22"/>
          <w:szCs w:val="22"/>
        </w:rPr>
        <w:t>Manevi Tazminat</w:t>
      </w:r>
    </w:p>
    <w:p w14:paraId="2A37C7A9"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6098 sayılı Türk Borçlar Kanunu’nun 58. maddesi, kişilik haklarının hukuka aykırı olarak ihlal edilmesi halinde manevi tazminat talep edilebileceğini düzenlemiştir. İşçinin işyerinde mobbing, haksız isnat veya psikolojik baskıya maruz kalması, kişilik haklarının ihlali niteliğinde olup, bu durumda mahkeme olayın özelliğine göre uygun bir miktar manevi tazminata hükmedebilir. Bu düzenleme, işçinin kişilik değerlerinin korunması bakımından özel bir öneme sahiptir.</w:t>
      </w:r>
    </w:p>
    <w:p w14:paraId="2519CB1B" w14:textId="77777777" w:rsidR="000F1714" w:rsidRPr="0072190E" w:rsidRDefault="000F1714" w:rsidP="000F1714">
      <w:pPr>
        <w:spacing w:after="0"/>
        <w:jc w:val="both"/>
        <w:rPr>
          <w:rFonts w:ascii="Times New Roman" w:hAnsi="Times New Roman" w:cs="Times New Roman"/>
          <w:sz w:val="22"/>
          <w:szCs w:val="22"/>
        </w:rPr>
      </w:pPr>
    </w:p>
    <w:p w14:paraId="38F36F9E"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b/>
          <w:bCs/>
          <w:sz w:val="22"/>
          <w:szCs w:val="22"/>
        </w:rPr>
        <w:t>Genel Değerlendirme</w:t>
      </w:r>
    </w:p>
    <w:p w14:paraId="6E0DD657" w14:textId="77777777" w:rsid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İş hukukunda tazminat hükümleri, mali yaptırım olmanın ötesinde işçi–işveren ilişkilerini düzenleyen ve dengeyi sağlayan temel araçlar arasında yer almaktadır. Kıdem tazminatı işçinin uzun süreli emeğini güvence altına alırken, ihbar ve kötü niyet tazminatları fesih hakkının belirli sınırlar içinde kullanılmasını sağlar. İşe iade hükümleri iş güvencesini pekiştirir, ayrımcılık tazminatı eşit davranma yükümlülüğünün ihlali halinde caydırıcı bir rol oynar. Manevi tazminat ise işçinin kişilik değerlerini koruyarak hukuki çerçevenin sosyal yönünü güçlendirir.</w:t>
      </w:r>
    </w:p>
    <w:p w14:paraId="1D129474" w14:textId="77777777" w:rsidR="000F1714" w:rsidRPr="0072190E" w:rsidRDefault="000F1714" w:rsidP="000F1714">
      <w:pPr>
        <w:spacing w:after="0"/>
        <w:jc w:val="both"/>
        <w:rPr>
          <w:rFonts w:ascii="Times New Roman" w:hAnsi="Times New Roman" w:cs="Times New Roman"/>
          <w:sz w:val="22"/>
          <w:szCs w:val="22"/>
        </w:rPr>
      </w:pPr>
    </w:p>
    <w:p w14:paraId="23E4AE8F" w14:textId="77777777" w:rsidR="0072190E" w:rsidRPr="0072190E" w:rsidRDefault="0072190E" w:rsidP="000F1714">
      <w:pPr>
        <w:spacing w:after="0"/>
        <w:jc w:val="both"/>
        <w:rPr>
          <w:rFonts w:ascii="Times New Roman" w:hAnsi="Times New Roman" w:cs="Times New Roman"/>
          <w:sz w:val="22"/>
          <w:szCs w:val="22"/>
        </w:rPr>
      </w:pPr>
      <w:r w:rsidRPr="0072190E">
        <w:rPr>
          <w:rFonts w:ascii="Times New Roman" w:hAnsi="Times New Roman" w:cs="Times New Roman"/>
          <w:sz w:val="22"/>
          <w:szCs w:val="22"/>
        </w:rPr>
        <w:t>Bu düzenlemeler bir bütün olarak incelendiğinde, iş hukukunun işçiyi koruma amacını farklı boyutlarda hayata geçirdiği görülmektedir. Tazminat mekanizmaları işverenin yönetim hakkını sınırlarken, işçiye ekonomik ve manevi açıdan geniş kapsamlı bir güvence sağlamaktadır.</w:t>
      </w:r>
    </w:p>
    <w:p w14:paraId="4F818979" w14:textId="77777777" w:rsidR="00CE4199" w:rsidRDefault="00CE4199" w:rsidP="000F1714">
      <w:pPr>
        <w:spacing w:after="0"/>
        <w:jc w:val="both"/>
        <w:rPr>
          <w:rFonts w:ascii="Times New Roman" w:hAnsi="Times New Roman" w:cs="Times New Roman"/>
          <w:sz w:val="22"/>
          <w:szCs w:val="22"/>
        </w:rPr>
      </w:pPr>
    </w:p>
    <w:p w14:paraId="52F895C2" w14:textId="77777777" w:rsidR="00CE4199" w:rsidRDefault="00CE4199" w:rsidP="000F1714">
      <w:pPr>
        <w:spacing w:after="0"/>
        <w:jc w:val="both"/>
        <w:rPr>
          <w:rFonts w:ascii="Times New Roman" w:hAnsi="Times New Roman" w:cs="Times New Roman"/>
          <w:sz w:val="22"/>
          <w:szCs w:val="22"/>
        </w:rPr>
      </w:pPr>
    </w:p>
    <w:p w14:paraId="2D5E248E" w14:textId="77777777" w:rsidR="00C2431E" w:rsidRDefault="00C2431E" w:rsidP="000F1714">
      <w:pPr>
        <w:spacing w:after="0"/>
        <w:jc w:val="both"/>
        <w:rPr>
          <w:rFonts w:ascii="Times New Roman" w:hAnsi="Times New Roman" w:cs="Times New Roman"/>
          <w:sz w:val="22"/>
          <w:szCs w:val="22"/>
        </w:rPr>
      </w:pPr>
    </w:p>
    <w:p w14:paraId="00BCA13C" w14:textId="77777777" w:rsidR="00C2431E" w:rsidRDefault="00C2431E" w:rsidP="000F1714">
      <w:pPr>
        <w:spacing w:after="0"/>
        <w:jc w:val="both"/>
        <w:rPr>
          <w:rFonts w:ascii="Times New Roman" w:hAnsi="Times New Roman" w:cs="Times New Roman"/>
          <w:sz w:val="22"/>
          <w:szCs w:val="22"/>
        </w:rPr>
      </w:pPr>
    </w:p>
    <w:p w14:paraId="1E9AF799" w14:textId="77777777" w:rsidR="00C2431E" w:rsidRDefault="00C2431E" w:rsidP="000F1714">
      <w:pPr>
        <w:spacing w:after="0"/>
        <w:jc w:val="both"/>
        <w:rPr>
          <w:rFonts w:ascii="Times New Roman" w:hAnsi="Times New Roman" w:cs="Times New Roman"/>
          <w:sz w:val="22"/>
          <w:szCs w:val="22"/>
        </w:rPr>
      </w:pPr>
    </w:p>
    <w:p w14:paraId="7DA7D22E" w14:textId="77777777" w:rsidR="00C2431E" w:rsidRDefault="00C2431E" w:rsidP="000F1714">
      <w:pPr>
        <w:spacing w:after="0"/>
        <w:jc w:val="both"/>
        <w:rPr>
          <w:rFonts w:ascii="Times New Roman" w:hAnsi="Times New Roman" w:cs="Times New Roman"/>
          <w:sz w:val="22"/>
          <w:szCs w:val="22"/>
        </w:rPr>
      </w:pPr>
    </w:p>
    <w:p w14:paraId="23ECC34A" w14:textId="77777777" w:rsidR="00C2431E" w:rsidRDefault="00C2431E" w:rsidP="000F1714">
      <w:pPr>
        <w:spacing w:after="0"/>
        <w:jc w:val="both"/>
        <w:rPr>
          <w:rFonts w:ascii="Times New Roman" w:hAnsi="Times New Roman" w:cs="Times New Roman"/>
          <w:sz w:val="22"/>
          <w:szCs w:val="22"/>
        </w:rPr>
      </w:pPr>
    </w:p>
    <w:p w14:paraId="7A8861B8" w14:textId="77777777" w:rsidR="00C2431E" w:rsidRDefault="00C2431E" w:rsidP="000F1714">
      <w:pPr>
        <w:spacing w:after="0"/>
        <w:jc w:val="both"/>
        <w:rPr>
          <w:rFonts w:ascii="Times New Roman" w:hAnsi="Times New Roman" w:cs="Times New Roman"/>
          <w:sz w:val="22"/>
          <w:szCs w:val="22"/>
        </w:rPr>
      </w:pPr>
    </w:p>
    <w:p w14:paraId="3EE275A0" w14:textId="77777777" w:rsidR="00C2431E" w:rsidRDefault="00C2431E" w:rsidP="000F1714">
      <w:pPr>
        <w:spacing w:after="0"/>
        <w:jc w:val="both"/>
        <w:rPr>
          <w:rFonts w:ascii="Times New Roman" w:hAnsi="Times New Roman" w:cs="Times New Roman"/>
          <w:sz w:val="22"/>
          <w:szCs w:val="22"/>
        </w:rPr>
      </w:pPr>
    </w:p>
    <w:p w14:paraId="4ABCF1C6" w14:textId="77777777" w:rsidR="00C2431E" w:rsidRDefault="00C2431E" w:rsidP="000F1714">
      <w:pPr>
        <w:spacing w:after="0"/>
        <w:jc w:val="both"/>
        <w:rPr>
          <w:rFonts w:ascii="Times New Roman" w:hAnsi="Times New Roman" w:cs="Times New Roman"/>
          <w:sz w:val="22"/>
          <w:szCs w:val="22"/>
        </w:rPr>
      </w:pPr>
    </w:p>
    <w:p w14:paraId="429E5863" w14:textId="77777777" w:rsidR="00C2431E" w:rsidRDefault="00C2431E" w:rsidP="000F1714">
      <w:pPr>
        <w:spacing w:after="0"/>
        <w:jc w:val="both"/>
        <w:rPr>
          <w:rFonts w:ascii="Times New Roman" w:hAnsi="Times New Roman" w:cs="Times New Roman"/>
          <w:sz w:val="22"/>
          <w:szCs w:val="22"/>
        </w:rPr>
      </w:pPr>
    </w:p>
    <w:p w14:paraId="6EBE6D26" w14:textId="14167C33" w:rsidR="00C2431E" w:rsidRPr="00C2431E" w:rsidRDefault="00C2431E" w:rsidP="00C2431E">
      <w:pPr>
        <w:spacing w:after="0"/>
        <w:jc w:val="right"/>
        <w:rPr>
          <w:rFonts w:ascii="Times New Roman" w:hAnsi="Times New Roman" w:cs="Times New Roman"/>
          <w:b/>
          <w:bCs/>
          <w:sz w:val="22"/>
          <w:szCs w:val="22"/>
        </w:rPr>
      </w:pPr>
      <w:r w:rsidRPr="00C2431E">
        <w:rPr>
          <w:rFonts w:ascii="Times New Roman" w:hAnsi="Times New Roman" w:cs="Times New Roman"/>
          <w:b/>
          <w:bCs/>
          <w:sz w:val="22"/>
          <w:szCs w:val="22"/>
        </w:rPr>
        <w:lastRenderedPageBreak/>
        <w:t>EKİM 2025</w:t>
      </w:r>
    </w:p>
    <w:p w14:paraId="5C33BA08" w14:textId="49EAB54E" w:rsidR="00561077"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 xml:space="preserve">YAZILI İŞ SÖZLEŞMESİ OLMADAN ÇALIŞAN BAŞLATMANIN İŞVERENE YANSIMALARI </w:t>
      </w:r>
    </w:p>
    <w:p w14:paraId="75EC71CA" w14:textId="77777777" w:rsidR="000F1714" w:rsidRPr="000F1714" w:rsidRDefault="000F1714" w:rsidP="000F1714">
      <w:pPr>
        <w:spacing w:after="0"/>
        <w:ind w:left="360"/>
        <w:jc w:val="both"/>
        <w:rPr>
          <w:rFonts w:ascii="Times New Roman" w:hAnsi="Times New Roman" w:cs="Times New Roman"/>
          <w:b/>
          <w:bCs/>
          <w:sz w:val="22"/>
          <w:szCs w:val="22"/>
        </w:rPr>
      </w:pPr>
    </w:p>
    <w:p w14:paraId="5DD6E703" w14:textId="77777777" w:rsid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Yazılı iş sözleşmesi düzenlenmeden işe başlatılan çalışan, ileride işveren açısından ciddi hukuki riskler doğurabilir.</w:t>
      </w:r>
    </w:p>
    <w:p w14:paraId="4B9F0283" w14:textId="77777777" w:rsidR="000F1714" w:rsidRDefault="000F1714" w:rsidP="000F1714">
      <w:pPr>
        <w:spacing w:after="0"/>
        <w:ind w:left="-76"/>
        <w:jc w:val="both"/>
        <w:rPr>
          <w:rFonts w:ascii="Times New Roman" w:hAnsi="Times New Roman" w:cs="Times New Roman"/>
          <w:sz w:val="22"/>
          <w:szCs w:val="22"/>
        </w:rPr>
      </w:pPr>
    </w:p>
    <w:p w14:paraId="18694977" w14:textId="77777777" w:rsid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4857 sayılı İş Kanunu’nun ilgili hükümleri işverene yükümlülükler getirmiştir.</w:t>
      </w:r>
    </w:p>
    <w:p w14:paraId="094DDC58" w14:textId="77777777" w:rsidR="000F1714" w:rsidRDefault="000F1714" w:rsidP="000F1714">
      <w:pPr>
        <w:spacing w:after="0"/>
        <w:ind w:left="-76"/>
        <w:jc w:val="both"/>
        <w:rPr>
          <w:rFonts w:ascii="Times New Roman" w:hAnsi="Times New Roman" w:cs="Times New Roman"/>
          <w:sz w:val="22"/>
          <w:szCs w:val="22"/>
        </w:rPr>
      </w:pPr>
    </w:p>
    <w:p w14:paraId="3AED0142" w14:textId="77777777" w:rsidR="000F1714" w:rsidRPr="00561077" w:rsidRDefault="000F1714" w:rsidP="000F1714">
      <w:pPr>
        <w:spacing w:after="0"/>
        <w:ind w:left="-76"/>
        <w:jc w:val="both"/>
        <w:rPr>
          <w:rFonts w:ascii="Times New Roman" w:hAnsi="Times New Roman" w:cs="Times New Roman"/>
          <w:sz w:val="22"/>
          <w:szCs w:val="22"/>
        </w:rPr>
      </w:pPr>
    </w:p>
    <w:p w14:paraId="1A3418E0" w14:textId="77777777" w:rsidR="00561077" w:rsidRDefault="00561077" w:rsidP="000F1714">
      <w:pPr>
        <w:spacing w:after="0"/>
        <w:ind w:left="-76"/>
        <w:jc w:val="both"/>
        <w:rPr>
          <w:rFonts w:ascii="Times New Roman" w:hAnsi="Times New Roman" w:cs="Times New Roman"/>
          <w:b/>
          <w:bCs/>
          <w:sz w:val="22"/>
          <w:szCs w:val="22"/>
        </w:rPr>
      </w:pPr>
      <w:r w:rsidRPr="00561077">
        <w:rPr>
          <w:rFonts w:ascii="Times New Roman" w:hAnsi="Times New Roman" w:cs="Times New Roman"/>
          <w:b/>
          <w:bCs/>
          <w:sz w:val="22"/>
          <w:szCs w:val="22"/>
        </w:rPr>
        <w:t>İş Sözleşmesinin Tanımı ve Şekil Şartı</w:t>
      </w:r>
    </w:p>
    <w:p w14:paraId="5BAAF728"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4857 sayılı İş Kanunu’nun 8. maddesine göre, iş sözleşmesi, bir tarafın iş görmeyi, diğer tarafın da ücret ödemeyi üstlenmesinden oluşur.</w:t>
      </w:r>
    </w:p>
    <w:p w14:paraId="48D892B2"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İş sözleşmesi, Kanunda aksi belirtilmedikçe özel bir şekle tabi değildir.</w:t>
      </w:r>
    </w:p>
    <w:p w14:paraId="37809659"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Süresi bir yıl ve daha fazla olan iş sözleşmelerinin yazılı şekilde yapılması zorunludur.</w:t>
      </w:r>
    </w:p>
    <w:p w14:paraId="5B14AC72" w14:textId="77777777" w:rsid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Bu düzenleme, işverenin uzun süreli çalışmalarda mutlaka yazılı sözleşme düzenlemesini şart koşar.</w:t>
      </w:r>
    </w:p>
    <w:p w14:paraId="5E9910FE" w14:textId="77777777" w:rsidR="000F1714" w:rsidRPr="00561077" w:rsidRDefault="000F1714" w:rsidP="000F1714">
      <w:pPr>
        <w:spacing w:after="0"/>
        <w:ind w:left="-76"/>
        <w:jc w:val="both"/>
        <w:rPr>
          <w:rFonts w:ascii="Times New Roman" w:hAnsi="Times New Roman" w:cs="Times New Roman"/>
          <w:sz w:val="22"/>
          <w:szCs w:val="22"/>
        </w:rPr>
      </w:pPr>
    </w:p>
    <w:p w14:paraId="432882A1"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b/>
          <w:bCs/>
          <w:sz w:val="22"/>
          <w:szCs w:val="22"/>
        </w:rPr>
        <w:t>Yazılı Bilgilendirme Zorunluluğu</w:t>
      </w:r>
    </w:p>
    <w:p w14:paraId="042845F0"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Yazılı iş sözleşmesi yapılmayan hallerde işveren, işçiye en geç iki ay içinde çalışma koşullarını yazılı olarak bildirmekle yükümlüdür.</w:t>
      </w:r>
    </w:p>
    <w:p w14:paraId="180FCDCC"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Süresi bir ayı geçmeyen belirli süreli iş sözleşmelerinde bu fıkra hükmü uygulanmaz.</w:t>
      </w:r>
    </w:p>
    <w:p w14:paraId="3156DB22" w14:textId="77777777" w:rsid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İş sözleşmesi iki aylık süre dolmadan sona ermiş ise, bu bilgilerin en geç sona erme tarihinde işçiye yazılı olarak verilmesi zorunludur.</w:t>
      </w:r>
    </w:p>
    <w:p w14:paraId="43D0AA9E" w14:textId="77777777" w:rsidR="000F1714" w:rsidRPr="00561077" w:rsidRDefault="000F1714" w:rsidP="000F1714">
      <w:pPr>
        <w:spacing w:after="0"/>
        <w:ind w:left="-76"/>
        <w:jc w:val="both"/>
        <w:rPr>
          <w:rFonts w:ascii="Times New Roman" w:hAnsi="Times New Roman" w:cs="Times New Roman"/>
          <w:sz w:val="22"/>
          <w:szCs w:val="22"/>
        </w:rPr>
      </w:pPr>
    </w:p>
    <w:p w14:paraId="6C2180E3"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b/>
          <w:bCs/>
          <w:sz w:val="22"/>
          <w:szCs w:val="22"/>
        </w:rPr>
        <w:t>Belirli Süreli İş Sözleşmeleri</w:t>
      </w:r>
    </w:p>
    <w:p w14:paraId="5C5A86FD"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4857 sayılı İş Kanunu’nun 11. maddesine göre, iş ilişkisinin bir süreye bağlı yapılmadığı durumlarda sözleşme belirsiz süreli sayılır.</w:t>
      </w:r>
    </w:p>
    <w:p w14:paraId="17F981F0"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Bu nedenle belirli süreli sözleşmelerin yazılı yapılmaması, işverene karşı fesih serbestisinin kısıtlanması ve kıdem, ihbar gibi yükümlülüklerin doğması sonucunu beraberinde getirebilir.</w:t>
      </w:r>
    </w:p>
    <w:p w14:paraId="59FA887C"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Yazılı iş sözleşmesi yapılmaması, işvereni hem hukuki hem de mali açıdan savunmasız bırakabilir.</w:t>
      </w:r>
    </w:p>
    <w:p w14:paraId="7B52F501"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4857 sayılı İş Kanunu’nun 8. ve 11. maddeleri bu yükümlülükleri açıkça ortaya koymaktadır.</w:t>
      </w:r>
    </w:p>
    <w:p w14:paraId="388E2026" w14:textId="77777777" w:rsidR="00561077" w:rsidRPr="00561077" w:rsidRDefault="00561077" w:rsidP="000F1714">
      <w:pPr>
        <w:spacing w:after="0"/>
        <w:ind w:left="-76"/>
        <w:jc w:val="both"/>
        <w:rPr>
          <w:rFonts w:ascii="Times New Roman" w:hAnsi="Times New Roman" w:cs="Times New Roman"/>
          <w:sz w:val="22"/>
          <w:szCs w:val="22"/>
        </w:rPr>
      </w:pPr>
      <w:r w:rsidRPr="00561077">
        <w:rPr>
          <w:rFonts w:ascii="Times New Roman" w:hAnsi="Times New Roman" w:cs="Times New Roman"/>
          <w:sz w:val="22"/>
          <w:szCs w:val="22"/>
        </w:rPr>
        <w:t>Bu nedenle işverenler, her durumda çalışanla yazılı iş sözleşmesi yaparak doğabilecek riskleri en baştan önlemelidir.</w:t>
      </w:r>
    </w:p>
    <w:p w14:paraId="624DDC49" w14:textId="77777777" w:rsidR="00561077" w:rsidRDefault="00561077" w:rsidP="000F1714">
      <w:pPr>
        <w:spacing w:after="0"/>
        <w:ind w:left="-76"/>
        <w:jc w:val="both"/>
        <w:rPr>
          <w:rFonts w:ascii="Times New Roman" w:hAnsi="Times New Roman" w:cs="Times New Roman"/>
          <w:sz w:val="22"/>
          <w:szCs w:val="22"/>
        </w:rPr>
      </w:pPr>
    </w:p>
    <w:p w14:paraId="4D9B674E" w14:textId="77777777" w:rsidR="00561077" w:rsidRPr="000F1714" w:rsidRDefault="00561077" w:rsidP="000F1714">
      <w:pPr>
        <w:spacing w:after="0"/>
        <w:ind w:left="-76"/>
        <w:jc w:val="both"/>
        <w:rPr>
          <w:rFonts w:ascii="Times New Roman" w:hAnsi="Times New Roman" w:cs="Times New Roman"/>
          <w:b/>
          <w:bCs/>
          <w:sz w:val="22"/>
          <w:szCs w:val="22"/>
        </w:rPr>
      </w:pPr>
    </w:p>
    <w:p w14:paraId="61CC260E" w14:textId="6C50A62C" w:rsidR="00F900B0"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 xml:space="preserve">İŞVERENİN ÇALIŞANI FARKLI GÖREVDE ÇALIŞTIRMA HAKKININ SINIRLARI </w:t>
      </w:r>
    </w:p>
    <w:p w14:paraId="46A5F396" w14:textId="77777777" w:rsidR="00F900B0" w:rsidRDefault="00F900B0" w:rsidP="000F1714">
      <w:pPr>
        <w:spacing w:after="0"/>
        <w:jc w:val="both"/>
        <w:rPr>
          <w:rFonts w:ascii="Times New Roman" w:hAnsi="Times New Roman" w:cs="Times New Roman"/>
          <w:sz w:val="22"/>
          <w:szCs w:val="22"/>
        </w:rPr>
      </w:pPr>
    </w:p>
    <w:p w14:paraId="3F8C6030" w14:textId="77777777" w:rsid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İşverenin yönetim hakkı, iş ilişkisinin doğal bir unsuru olmakla birlikte, kapsamı ve sınırları iş hukukunun en tartışmalı alanlarından birini oluşturur. Yönetim hakkı çerçevesinde işveren, işin yürütülmesine ilişkin düzenlemeler yapma ve işçiye talimat verme yetkisine sahiptir. Ancak bu yetkinin kullanımı, işçinin iş sözleşmesi ile güvence altına alınan hakları ve kişilik değerleri karşısında mutlak bir serbesti ifade etmez.</w:t>
      </w:r>
    </w:p>
    <w:p w14:paraId="07EA21BF" w14:textId="77777777" w:rsidR="000F1714" w:rsidRPr="00F900B0" w:rsidRDefault="000F1714" w:rsidP="000F1714">
      <w:pPr>
        <w:spacing w:after="0"/>
        <w:jc w:val="both"/>
        <w:rPr>
          <w:rFonts w:ascii="Times New Roman" w:hAnsi="Times New Roman" w:cs="Times New Roman"/>
          <w:sz w:val="22"/>
          <w:szCs w:val="22"/>
        </w:rPr>
      </w:pPr>
    </w:p>
    <w:p w14:paraId="0752F7CB" w14:textId="77777777" w:rsid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Özellikle işçinin görev tanımında yapılacak değişiklikler, çalışma koşullarına doğrudan etki eden ve çoğu durumda “esaslı değişiklik” niteliği taşıyan işlemler arasındadır. Bu nedenle, işverenin çalışanı farklı bir görevde çalıştırma yetkisi, yalnızca yönetim hakkı kapsamında değil; aynı zamanda iş sözleşmesinin bağlayıcılığı ve kanundan doğan sınırlamalar ışığında değerlendirilmelidir.</w:t>
      </w:r>
    </w:p>
    <w:p w14:paraId="4C681921" w14:textId="77777777" w:rsidR="000F1714" w:rsidRPr="00F900B0" w:rsidRDefault="000F1714" w:rsidP="000F1714">
      <w:pPr>
        <w:spacing w:after="0"/>
        <w:jc w:val="both"/>
        <w:rPr>
          <w:rFonts w:ascii="Times New Roman" w:hAnsi="Times New Roman" w:cs="Times New Roman"/>
          <w:sz w:val="22"/>
          <w:szCs w:val="22"/>
        </w:rPr>
      </w:pPr>
    </w:p>
    <w:p w14:paraId="6EB70D7D" w14:textId="3A488EFE" w:rsidR="000F1714" w:rsidRPr="00F900B0" w:rsidRDefault="00F900B0" w:rsidP="000F1714">
      <w:pPr>
        <w:spacing w:after="0"/>
        <w:jc w:val="both"/>
        <w:rPr>
          <w:rFonts w:ascii="Times New Roman" w:hAnsi="Times New Roman" w:cs="Times New Roman"/>
          <w:b/>
          <w:bCs/>
          <w:sz w:val="22"/>
          <w:szCs w:val="22"/>
        </w:rPr>
      </w:pPr>
      <w:r w:rsidRPr="00F900B0">
        <w:rPr>
          <w:rFonts w:ascii="Times New Roman" w:hAnsi="Times New Roman" w:cs="Times New Roman"/>
          <w:b/>
          <w:bCs/>
          <w:sz w:val="22"/>
          <w:szCs w:val="22"/>
        </w:rPr>
        <w:t>İş Sözleşmesi ve Talimat Yetkisinin Çerçevesi</w:t>
      </w:r>
    </w:p>
    <w:p w14:paraId="2A8AC65D" w14:textId="77777777" w:rsid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4857 sayılı İş Kanunu m. 8, iş sözleşmesini tanımlar ve süresi bir yıl veya daha fazla olan sözleşmelerin yazılı yapılmasını zorunlu kılar. Yazılı sözleşme yapılmadığında işveren, iki ay içinde işçiye çalışma koşullarını, ücret ve eklerini, ödeme dönemini ve sözleşmenin süresini yazılı olarak bildirmekle yükümlüdür.</w:t>
      </w:r>
    </w:p>
    <w:p w14:paraId="12F34254" w14:textId="77777777" w:rsidR="000F1714" w:rsidRPr="00F900B0" w:rsidRDefault="000F1714" w:rsidP="000F1714">
      <w:pPr>
        <w:spacing w:after="0"/>
        <w:jc w:val="both"/>
        <w:rPr>
          <w:rFonts w:ascii="Times New Roman" w:hAnsi="Times New Roman" w:cs="Times New Roman"/>
          <w:sz w:val="22"/>
          <w:szCs w:val="22"/>
        </w:rPr>
      </w:pPr>
    </w:p>
    <w:p w14:paraId="28E89DDA" w14:textId="77777777" w:rsidR="00F900B0" w:rsidRP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Bu düzenleme, işçinin hangi koşullar altında çalışacağını güvence altına alır. Dolayısıyla işçinin görevi ve işi, sözleşme veya işverenin vermek zorunda olduğu yazılı belgelerle belirlenmiş olur.</w:t>
      </w:r>
    </w:p>
    <w:p w14:paraId="7EFC7348" w14:textId="77777777" w:rsid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Türk Borçlar Kanunu m. 399, işverenin işin görülmesi ve işyerindeki davranışlarla ilgili düzenleme yapabileceğini ve işçiye özel talimat verebileceğini öngörür. Maddede işçilerin bu talimatlara “dürüstlük kurallarının gerektirdiği ölçüde” uymak zorunda oldukları belirtilmiştir. Bu hüküm, işverenin talimat yetkisinin sınırsız olmadığını ortaya koyar.</w:t>
      </w:r>
    </w:p>
    <w:p w14:paraId="5283D9E9" w14:textId="77777777" w:rsidR="000F1714" w:rsidRPr="00F900B0" w:rsidRDefault="000F1714" w:rsidP="000F1714">
      <w:pPr>
        <w:spacing w:after="0"/>
        <w:jc w:val="both"/>
        <w:rPr>
          <w:rFonts w:ascii="Times New Roman" w:hAnsi="Times New Roman" w:cs="Times New Roman"/>
          <w:sz w:val="22"/>
          <w:szCs w:val="22"/>
        </w:rPr>
      </w:pPr>
    </w:p>
    <w:p w14:paraId="35DF8F1D" w14:textId="77777777" w:rsid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Türk Borçlar Kanunu m. 417 ise işverenin, hizmet ilişkisinde işçinin kişiliğini korumak ve saygı göstermekle yükümlü olduğunu düzenler. Bu madde, işçiyi psikolojik veya fiziksel açıdan zarar göreceği, onur kırıcı veya mesleki saygınlığını zedeleyecek görevlerde çalıştırmayı engeller.</w:t>
      </w:r>
    </w:p>
    <w:p w14:paraId="1CE6DDB8" w14:textId="77777777" w:rsidR="000F1714" w:rsidRPr="00F900B0" w:rsidRDefault="000F1714" w:rsidP="000F1714">
      <w:pPr>
        <w:spacing w:after="0"/>
        <w:jc w:val="both"/>
        <w:rPr>
          <w:rFonts w:ascii="Times New Roman" w:hAnsi="Times New Roman" w:cs="Times New Roman"/>
          <w:sz w:val="22"/>
          <w:szCs w:val="22"/>
        </w:rPr>
      </w:pPr>
    </w:p>
    <w:p w14:paraId="5C820C0C" w14:textId="77777777" w:rsidR="00F900B0" w:rsidRP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b/>
          <w:bCs/>
          <w:sz w:val="22"/>
          <w:szCs w:val="22"/>
        </w:rPr>
        <w:t>Çalışma Koşullarında Değişiklik</w:t>
      </w:r>
    </w:p>
    <w:p w14:paraId="04151143" w14:textId="77777777" w:rsid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4857 sayılı İş Kanunu m. 22, çalışma koşullarında esaslı değişiklik yapılmasını işçinin yazılı onayına bağlar. İşveren, böyle bir değişikliği işçiye yazılı olarak bildirmek zorundadır. İşçi altı iş günü içinde yazılı olarak kabul etmediği sürece değişiklik işçiyi bağlamaz. İşçi değişiklik önerisini bu süre içinde kabul etmezse, işveren değişikliğin geçerli bir nedene dayandığını veya fesih için başka bir geçerli nedenin bulunduğunu yazılı olarak açıklamak ve bildirim süresine uymak suretiyle iş sözleşmesini feshedebilir.</w:t>
      </w:r>
    </w:p>
    <w:p w14:paraId="78ECCA10" w14:textId="77777777" w:rsidR="000F1714" w:rsidRPr="00F900B0" w:rsidRDefault="000F1714" w:rsidP="000F1714">
      <w:pPr>
        <w:spacing w:after="0"/>
        <w:jc w:val="both"/>
        <w:rPr>
          <w:rFonts w:ascii="Times New Roman" w:hAnsi="Times New Roman" w:cs="Times New Roman"/>
          <w:sz w:val="22"/>
          <w:szCs w:val="22"/>
        </w:rPr>
      </w:pPr>
    </w:p>
    <w:p w14:paraId="3743F635" w14:textId="77777777" w:rsidR="00F900B0" w:rsidRP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b/>
          <w:bCs/>
          <w:sz w:val="22"/>
          <w:szCs w:val="22"/>
        </w:rPr>
        <w:t>Değerlendirme</w:t>
      </w:r>
    </w:p>
    <w:p w14:paraId="454911F1" w14:textId="77777777" w:rsidR="00F900B0" w:rsidRP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İşveren, işin gereği olarak çalışanına talimat verebilir; fakat bu talimatın sınırını kanunlar çizer. İşçi, sözleşmede tanımlanmış görevin dışına çıkarılmak isteniyorsa bu ancak yazılı onayla mümkün olabilir. Talimatlar da dürüstlük kuralıyla sınırlıdır ve işçinin kişiliğine, mesleki saygınlığına zarar veremez.</w:t>
      </w:r>
    </w:p>
    <w:p w14:paraId="1F42175B" w14:textId="77777777" w:rsidR="00F900B0" w:rsidRPr="00F900B0" w:rsidRDefault="00F900B0" w:rsidP="000F1714">
      <w:pPr>
        <w:spacing w:after="0"/>
        <w:jc w:val="both"/>
        <w:rPr>
          <w:rFonts w:ascii="Times New Roman" w:hAnsi="Times New Roman" w:cs="Times New Roman"/>
          <w:sz w:val="22"/>
          <w:szCs w:val="22"/>
        </w:rPr>
      </w:pPr>
      <w:r w:rsidRPr="00F900B0">
        <w:rPr>
          <w:rFonts w:ascii="Times New Roman" w:hAnsi="Times New Roman" w:cs="Times New Roman"/>
          <w:sz w:val="22"/>
          <w:szCs w:val="22"/>
        </w:rPr>
        <w:t>Bu çerçevede, farklı görevde çalıştırma işverenin tek taraflı kararıyla değil; sözleşme hükümleri, yazılı bildirim ve işçinin rızasıyla şekillenir. Yasal sınırlar gözetildiğinde hem işverenin yönetim hakkı korunur hem de işçinin hak ve onuru güvence altına alınır.</w:t>
      </w:r>
    </w:p>
    <w:p w14:paraId="5D7729D3" w14:textId="77777777" w:rsidR="00F900B0" w:rsidRPr="00F900B0" w:rsidRDefault="00F900B0" w:rsidP="000F1714">
      <w:pPr>
        <w:spacing w:after="0"/>
        <w:jc w:val="both"/>
        <w:rPr>
          <w:rFonts w:ascii="Times New Roman" w:hAnsi="Times New Roman" w:cs="Times New Roman"/>
          <w:sz w:val="22"/>
          <w:szCs w:val="22"/>
        </w:rPr>
      </w:pPr>
    </w:p>
    <w:p w14:paraId="0C530504" w14:textId="77777777"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 xml:space="preserve">İSTİFA EDEN ÇALIŞAN KIDEM TAZMİNATI ALABİLİR Mİ? </w:t>
      </w:r>
    </w:p>
    <w:p w14:paraId="6872B652" w14:textId="77777777" w:rsidR="00A00725" w:rsidRDefault="00A00725" w:rsidP="000F1714">
      <w:pPr>
        <w:pStyle w:val="ListeParagraf"/>
        <w:spacing w:after="0"/>
        <w:ind w:left="284"/>
        <w:jc w:val="both"/>
        <w:rPr>
          <w:rFonts w:ascii="Times New Roman" w:hAnsi="Times New Roman" w:cs="Times New Roman"/>
          <w:sz w:val="22"/>
          <w:szCs w:val="22"/>
        </w:rPr>
      </w:pPr>
    </w:p>
    <w:p w14:paraId="416D942A" w14:textId="77777777" w:rsid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 hayatında en çok tartışılan konulardan biri, istifa eden bir çalışanın kıdem tazminatı alıp alamayacağıdır.</w:t>
      </w:r>
    </w:p>
    <w:p w14:paraId="2E04BF2C" w14:textId="77777777" w:rsidR="000F1714" w:rsidRPr="00A00725" w:rsidRDefault="000F1714" w:rsidP="000F1714">
      <w:pPr>
        <w:pStyle w:val="ListeParagraf"/>
        <w:spacing w:after="0"/>
        <w:ind w:left="284"/>
        <w:jc w:val="both"/>
        <w:rPr>
          <w:rFonts w:ascii="Times New Roman" w:hAnsi="Times New Roman" w:cs="Times New Roman"/>
          <w:sz w:val="22"/>
          <w:szCs w:val="22"/>
        </w:rPr>
      </w:pPr>
    </w:p>
    <w:p w14:paraId="23D9E414"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Genel kanı “İstifa eden tazminat alamaz.” yönündedir; ancak bu her zaman doğru değildir.</w:t>
      </w:r>
    </w:p>
    <w:p w14:paraId="362C53A7" w14:textId="495C4C40" w:rsid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Türk iş hukukunda bazı özel durumlarda, çalışan kendi isteğiyle işten ayrılsa bile kıdem tazminatına hak kazanabilir.</w:t>
      </w:r>
      <w:r w:rsidR="000F1714">
        <w:rPr>
          <w:rFonts w:ascii="Times New Roman" w:hAnsi="Times New Roman" w:cs="Times New Roman"/>
          <w:sz w:val="22"/>
          <w:szCs w:val="22"/>
        </w:rPr>
        <w:t xml:space="preserve"> </w:t>
      </w:r>
      <w:r w:rsidRPr="00A00725">
        <w:rPr>
          <w:rFonts w:ascii="Times New Roman" w:hAnsi="Times New Roman" w:cs="Times New Roman"/>
          <w:sz w:val="22"/>
          <w:szCs w:val="22"/>
        </w:rPr>
        <w:t>Kıdem tazminatının temelini, hâlâ yürürlükte olan 1475 sayılı İş Kanunu’nun 14. maddesi oluşturur.</w:t>
      </w:r>
      <w:r w:rsidR="000F1714">
        <w:rPr>
          <w:rFonts w:ascii="Times New Roman" w:hAnsi="Times New Roman" w:cs="Times New Roman"/>
          <w:sz w:val="22"/>
          <w:szCs w:val="22"/>
        </w:rPr>
        <w:t xml:space="preserve"> </w:t>
      </w:r>
      <w:r w:rsidRPr="00A00725">
        <w:rPr>
          <w:rFonts w:ascii="Times New Roman" w:hAnsi="Times New Roman" w:cs="Times New Roman"/>
          <w:sz w:val="22"/>
          <w:szCs w:val="22"/>
        </w:rPr>
        <w:t>Bu maddeye göre normal şartlarda istifa eden çalışan tazminat alamaz.</w:t>
      </w:r>
    </w:p>
    <w:p w14:paraId="38829DAD" w14:textId="77777777" w:rsidR="000F1714" w:rsidRPr="00A00725" w:rsidRDefault="000F1714" w:rsidP="000F1714">
      <w:pPr>
        <w:pStyle w:val="ListeParagraf"/>
        <w:spacing w:after="0"/>
        <w:ind w:left="0"/>
        <w:jc w:val="both"/>
        <w:rPr>
          <w:rFonts w:ascii="Times New Roman" w:hAnsi="Times New Roman" w:cs="Times New Roman"/>
          <w:sz w:val="22"/>
          <w:szCs w:val="22"/>
        </w:rPr>
      </w:pPr>
    </w:p>
    <w:p w14:paraId="470E6E33" w14:textId="5DE1F8F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Ancak belirli koşullar sağlandığında, iş sözleşmesini kendi isteğiyle sona erdiren işçiye de kıdem tazminatı ödenebilir.</w:t>
      </w:r>
      <w:r w:rsidR="000F1714">
        <w:rPr>
          <w:rFonts w:ascii="Times New Roman" w:hAnsi="Times New Roman" w:cs="Times New Roman"/>
          <w:sz w:val="22"/>
          <w:szCs w:val="22"/>
        </w:rPr>
        <w:t xml:space="preserve"> </w:t>
      </w:r>
      <w:r w:rsidRPr="00A00725">
        <w:rPr>
          <w:rFonts w:ascii="Times New Roman" w:hAnsi="Times New Roman" w:cs="Times New Roman"/>
          <w:sz w:val="22"/>
          <w:szCs w:val="22"/>
        </w:rPr>
        <w:t>Madde 14’e göre kıdem tazminatı şu hallerde ödenir:</w:t>
      </w:r>
    </w:p>
    <w:p w14:paraId="0FA671BF"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İşverenin ahlak ve iyi niyet kurallarına aykırı bir nedenle fesih yapmaması,</w:t>
      </w:r>
    </w:p>
    <w:p w14:paraId="7F667058"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lastRenderedPageBreak/>
        <w:t>İşçinin 4857 sayılı İş Kanunu’nun 24. maddesinde belirtilen haklı nedenlerle sözleşmeyi feshetmesi,</w:t>
      </w:r>
    </w:p>
    <w:p w14:paraId="17F0D682"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İşçinin muvazzaf askerlik nedeniyle işten ayrılması,</w:t>
      </w:r>
    </w:p>
    <w:p w14:paraId="0D61FA7E"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İşçinin ölümü sebebiyle iş sözleşmesinin sona ermesi,</w:t>
      </w:r>
    </w:p>
    <w:p w14:paraId="02D36F45"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Kadın işçinin evlendiği tarihten itibaren bir yıl içinde kendi isteğiyle işten ayrılması,</w:t>
      </w:r>
    </w:p>
    <w:p w14:paraId="04606617"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Emeklilik, malullük veya toptan ödeme almak amacıyla işten ayrılması,</w:t>
      </w:r>
    </w:p>
    <w:p w14:paraId="0139206E"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Öngörülen sigortalılık süresi ve prim ödeme gün sayısı koşullarını sağlayarak yaş dışı emeklilik hakkını kullanması.</w:t>
      </w:r>
    </w:p>
    <w:p w14:paraId="079DDC8B"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Bu hallerde işçi kendi isteğiyle işten ayrılsa bile, her tam hizmet yılı için 30 günlük brüt ücret tutarında kıdem tazminatına hak kazanabilir.</w:t>
      </w:r>
    </w:p>
    <w:p w14:paraId="4E227ABE"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b/>
          <w:bCs/>
          <w:sz w:val="22"/>
          <w:szCs w:val="22"/>
        </w:rPr>
        <w:t>Haklı Fesih</w:t>
      </w:r>
    </w:p>
    <w:p w14:paraId="1BCBBCF2"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İşçinin istifa etmesine rağmen tazminat hakkı doğuran bir diğer yol, haklı fesihtir.</w:t>
      </w:r>
    </w:p>
    <w:p w14:paraId="721C4E67"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4857 sayılı İş Kanunu’nun 24. maddesi, işçiye şu durumlarda sözleşmesini derhal sona erdirme hakkı verir:</w:t>
      </w:r>
    </w:p>
    <w:p w14:paraId="42F8B1FD"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Ücretin zamanında veya eksiksiz ödenmemesi,</w:t>
      </w:r>
    </w:p>
    <w:p w14:paraId="59D11864"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İşin niteliği gereği sağlığı ya da yaşamı için tehlike oluşturması,</w:t>
      </w:r>
    </w:p>
    <w:p w14:paraId="45A19A3B"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İşverenin işçiyi yanıltması veya çalışma koşullarını tek taraflı değiştirmesi,</w:t>
      </w:r>
    </w:p>
    <w:p w14:paraId="63A6A478"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İşverenin işçiye veya ailesine karşı hakaret, tehdit, sataşma ya da cinsel tacizde bulunması,</w:t>
      </w:r>
    </w:p>
    <w:p w14:paraId="0B008409"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İşçinin işyerinde başka kişilerce tacize uğraması ve işverenin önlem almaması,</w:t>
      </w:r>
    </w:p>
    <w:p w14:paraId="2DD60B16"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İşverenin işçiye yeterli iş vermemesi veya çalışma şartlarını uygulamaması,</w:t>
      </w:r>
    </w:p>
    <w:p w14:paraId="07741F37"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İşyerinde bir haftadan fazla süreyle işin durmasına yol açan zorlayıcı sebeplerin ortaya çıkması.</w:t>
      </w:r>
    </w:p>
    <w:p w14:paraId="0CDE3AC1"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Bu tür hallerde işçi,</w:t>
      </w:r>
    </w:p>
    <w:p w14:paraId="4480B350" w14:textId="77777777" w:rsid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“istifa” etmiş olsa bile hukuken haklı nedenle fesih yapmış sayılır ve kıdem tazminatına hak kazanabilir.</w:t>
      </w:r>
    </w:p>
    <w:p w14:paraId="7A713B95" w14:textId="77777777" w:rsidR="000F1714" w:rsidRPr="00A00725" w:rsidRDefault="000F1714" w:rsidP="000F1714">
      <w:pPr>
        <w:pStyle w:val="ListeParagraf"/>
        <w:spacing w:after="0"/>
        <w:ind w:left="0"/>
        <w:jc w:val="both"/>
        <w:rPr>
          <w:rFonts w:ascii="Times New Roman" w:hAnsi="Times New Roman" w:cs="Times New Roman"/>
          <w:sz w:val="22"/>
          <w:szCs w:val="22"/>
        </w:rPr>
      </w:pPr>
    </w:p>
    <w:p w14:paraId="186BDC8E"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b/>
          <w:bCs/>
          <w:sz w:val="22"/>
          <w:szCs w:val="22"/>
        </w:rPr>
        <w:t>Uygulamada Dikkat Edilmesi Gereken Noktalar</w:t>
      </w:r>
    </w:p>
    <w:p w14:paraId="7CF8FAEA"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Haklı fesih veya kanunda belirtilen özel nedenlerle istifa eden işçilerin, fesih nedenlerini mutlaka yazılı olarak bildirmesi gerekir.</w:t>
      </w:r>
    </w:p>
    <w:p w14:paraId="76BEE036"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Özellikle 15 yıl–3600 gün kuralı kapsamında ayrılacak işçilerin, SGK’dan “Kıdem tazminatına hak kazanmıştır.” yazısını alarak işverene sunması gerekir.</w:t>
      </w:r>
    </w:p>
    <w:p w14:paraId="13AC658A"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Tazminat, işçinin son brüt ücreti üzerinden hesaplanır ve her tam yıl için 30 günlük ücret tutarında ödenir.</w:t>
      </w:r>
    </w:p>
    <w:p w14:paraId="57C02497"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Tavan sınırı ise 5434 sayılı T.C. Emekli Sandığı Kanunu’ndaki emeklilik ikramiyesi tavanı ile belirlenir.</w:t>
      </w:r>
    </w:p>
    <w:p w14:paraId="01489D4F"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Kısacası, her istifa kıdem tazminatını ortadan kaldırmaz.</w:t>
      </w:r>
    </w:p>
    <w:p w14:paraId="59C79B1E"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İşçi, kanunda sayılan özel nedenlerden biriyle işten ayrıldığında veya haklı fesih hakkını kullandığında, tazminat hakkı devam eder.</w:t>
      </w:r>
    </w:p>
    <w:p w14:paraId="5996A950" w14:textId="77777777" w:rsidR="00A00725" w:rsidRPr="00A00725" w:rsidRDefault="00A00725" w:rsidP="000F1714">
      <w:pPr>
        <w:pStyle w:val="ListeParagraf"/>
        <w:spacing w:after="0"/>
        <w:ind w:left="0"/>
        <w:jc w:val="both"/>
        <w:rPr>
          <w:rFonts w:ascii="Times New Roman" w:hAnsi="Times New Roman" w:cs="Times New Roman"/>
          <w:sz w:val="22"/>
          <w:szCs w:val="22"/>
        </w:rPr>
      </w:pPr>
      <w:r w:rsidRPr="00A00725">
        <w:rPr>
          <w:rFonts w:ascii="Times New Roman" w:hAnsi="Times New Roman" w:cs="Times New Roman"/>
          <w:sz w:val="22"/>
          <w:szCs w:val="22"/>
        </w:rPr>
        <w:t>Bu nedenle, işten ayrılma kararı alınmadan önce fesih gerekçesinin yasal dayanağının doğru tespit edilmesi büyük önem taşır.</w:t>
      </w:r>
    </w:p>
    <w:p w14:paraId="2C407FA4" w14:textId="77777777" w:rsidR="00A00725" w:rsidRPr="00CE4199" w:rsidRDefault="00A00725" w:rsidP="000F1714">
      <w:pPr>
        <w:pStyle w:val="ListeParagraf"/>
        <w:spacing w:after="0"/>
        <w:ind w:left="284"/>
        <w:jc w:val="both"/>
        <w:rPr>
          <w:rFonts w:ascii="Times New Roman" w:hAnsi="Times New Roman" w:cs="Times New Roman"/>
          <w:sz w:val="22"/>
          <w:szCs w:val="22"/>
        </w:rPr>
      </w:pPr>
    </w:p>
    <w:p w14:paraId="67F431A2" w14:textId="77777777"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 xml:space="preserve">YILLIK İZİN KULLANDIRMAMANIN İŞVERENE ETKİLERİ </w:t>
      </w:r>
    </w:p>
    <w:p w14:paraId="65F5D9BD" w14:textId="77777777" w:rsidR="00697D07" w:rsidRDefault="00697D07" w:rsidP="000F1714">
      <w:pPr>
        <w:pStyle w:val="ListeParagraf"/>
        <w:spacing w:after="0"/>
        <w:ind w:left="284"/>
        <w:jc w:val="both"/>
        <w:rPr>
          <w:rFonts w:ascii="Times New Roman" w:hAnsi="Times New Roman" w:cs="Times New Roman"/>
          <w:sz w:val="22"/>
          <w:szCs w:val="22"/>
        </w:rPr>
      </w:pPr>
    </w:p>
    <w:p w14:paraId="37E43B70"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b/>
          <w:bCs/>
          <w:sz w:val="22"/>
          <w:szCs w:val="22"/>
        </w:rPr>
        <w:t>Detaylar</w:t>
      </w:r>
    </w:p>
    <w:p w14:paraId="49C90670"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Çalışanların yıllık izni, bir “ödül” değil; kanunla korunan bir dinlenme hakkıdır.</w:t>
      </w:r>
    </w:p>
    <w:p w14:paraId="4008CCDB"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 xml:space="preserve">Bu </w:t>
      </w:r>
      <w:proofErr w:type="gramStart"/>
      <w:r w:rsidRPr="00697D07">
        <w:rPr>
          <w:rFonts w:ascii="Times New Roman" w:hAnsi="Times New Roman" w:cs="Times New Roman"/>
          <w:sz w:val="22"/>
          <w:szCs w:val="22"/>
        </w:rPr>
        <w:t>hak,</w:t>
      </w:r>
      <w:proofErr w:type="gramEnd"/>
      <w:r w:rsidRPr="00697D07">
        <w:rPr>
          <w:rFonts w:ascii="Times New Roman" w:hAnsi="Times New Roman" w:cs="Times New Roman"/>
          <w:sz w:val="22"/>
          <w:szCs w:val="22"/>
        </w:rPr>
        <w:t xml:space="preserve"> hem iş verimliliğini korur hem de iş kazaları ve tükenmişlik riskini azaltır.</w:t>
      </w:r>
    </w:p>
    <w:p w14:paraId="2CA7C30E" w14:textId="77777777" w:rsid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Yıllık izin kullandırmamak ise, işveren açısından hem idari para cezası hem de tazminat riski doğurabilir.</w:t>
      </w:r>
    </w:p>
    <w:p w14:paraId="2B28A966" w14:textId="77777777" w:rsidR="000F1714" w:rsidRDefault="000F1714" w:rsidP="000F1714">
      <w:pPr>
        <w:pStyle w:val="ListeParagraf"/>
        <w:tabs>
          <w:tab w:val="left" w:pos="0"/>
        </w:tabs>
        <w:spacing w:after="0"/>
        <w:ind w:left="0"/>
        <w:jc w:val="both"/>
        <w:rPr>
          <w:rFonts w:ascii="Times New Roman" w:hAnsi="Times New Roman" w:cs="Times New Roman"/>
          <w:sz w:val="22"/>
          <w:szCs w:val="22"/>
        </w:rPr>
      </w:pPr>
    </w:p>
    <w:p w14:paraId="5B46B9EE" w14:textId="77777777" w:rsidR="00C2431E" w:rsidRDefault="00C2431E" w:rsidP="000F1714">
      <w:pPr>
        <w:pStyle w:val="ListeParagraf"/>
        <w:tabs>
          <w:tab w:val="left" w:pos="0"/>
        </w:tabs>
        <w:spacing w:after="0"/>
        <w:ind w:left="0"/>
        <w:jc w:val="both"/>
        <w:rPr>
          <w:rFonts w:ascii="Times New Roman" w:hAnsi="Times New Roman" w:cs="Times New Roman"/>
          <w:sz w:val="22"/>
          <w:szCs w:val="22"/>
        </w:rPr>
      </w:pPr>
    </w:p>
    <w:p w14:paraId="1721D403" w14:textId="77777777" w:rsidR="00C2431E" w:rsidRPr="00697D07" w:rsidRDefault="00C2431E" w:rsidP="000F1714">
      <w:pPr>
        <w:pStyle w:val="ListeParagraf"/>
        <w:tabs>
          <w:tab w:val="left" w:pos="0"/>
        </w:tabs>
        <w:spacing w:after="0"/>
        <w:ind w:left="0"/>
        <w:jc w:val="both"/>
        <w:rPr>
          <w:rFonts w:ascii="Times New Roman" w:hAnsi="Times New Roman" w:cs="Times New Roman"/>
          <w:sz w:val="22"/>
          <w:szCs w:val="22"/>
        </w:rPr>
      </w:pPr>
    </w:p>
    <w:p w14:paraId="3AF2AD3A"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b/>
          <w:bCs/>
          <w:sz w:val="22"/>
          <w:szCs w:val="22"/>
        </w:rPr>
        <w:lastRenderedPageBreak/>
        <w:t>Yıllık İzin Hakkının Oluşumu</w:t>
      </w:r>
    </w:p>
    <w:p w14:paraId="0AEC6C4E"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4857 sayılı İş Kanunu’nun 53. maddesi gereğince, bir işyerinde en az bir yıl çalışan her işçi yıllık ücretli izne hak kazanır.</w:t>
      </w:r>
    </w:p>
    <w:p w14:paraId="2B03A4D5"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İzin süresi işçinin kıdemine göre belirlenir:</w:t>
      </w:r>
    </w:p>
    <w:p w14:paraId="45D75792"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1–5 yıl arası çalışanlara en az 14 gün,</w:t>
      </w:r>
    </w:p>
    <w:p w14:paraId="71474DDC"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5–15 yıl arası çalışanlara en az 20 gün,</w:t>
      </w:r>
    </w:p>
    <w:p w14:paraId="5782D83F"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15 yıl ve üzeri çalışanlara en az 26 gün izin verilir.</w:t>
      </w:r>
    </w:p>
    <w:p w14:paraId="51AED54F"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Yer altı işlerinde çalışanların izin süresi 4 gün fazla uygulanır.</w:t>
      </w:r>
    </w:p>
    <w:p w14:paraId="3B3A0B2C"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Ayrıca 18 yaş altı veya 50 yaş üzeri işçiler için yıllık izin süresi 20 günden az olamaz.</w:t>
      </w:r>
    </w:p>
    <w:p w14:paraId="3CCB57CC" w14:textId="77777777" w:rsid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Bu süreler, iş sözleşmeleriyle artırılabilir; fakat azaltılamaz.</w:t>
      </w:r>
    </w:p>
    <w:p w14:paraId="1B7F2368" w14:textId="77777777" w:rsidR="000F1714" w:rsidRPr="00697D07" w:rsidRDefault="000F1714" w:rsidP="000F1714">
      <w:pPr>
        <w:pStyle w:val="ListeParagraf"/>
        <w:tabs>
          <w:tab w:val="left" w:pos="0"/>
        </w:tabs>
        <w:spacing w:after="0"/>
        <w:ind w:left="0"/>
        <w:jc w:val="both"/>
        <w:rPr>
          <w:rFonts w:ascii="Times New Roman" w:hAnsi="Times New Roman" w:cs="Times New Roman"/>
          <w:sz w:val="22"/>
          <w:szCs w:val="22"/>
        </w:rPr>
      </w:pPr>
    </w:p>
    <w:p w14:paraId="5FF40B84"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b/>
          <w:bCs/>
          <w:sz w:val="22"/>
          <w:szCs w:val="22"/>
        </w:rPr>
        <w:t>İzin Hakkı Devredilemez</w:t>
      </w:r>
    </w:p>
    <w:p w14:paraId="306AC210"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4857 sayılı İş Kanunu’nun 53. maddesi uyarınca, yıllık ücretli izin hakkından vazgeçilemez.</w:t>
      </w:r>
    </w:p>
    <w:p w14:paraId="0AA3A400"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Bu hak, işverenin takdirine bırakılmamış olup emredici niteliktedir.</w:t>
      </w:r>
    </w:p>
    <w:p w14:paraId="42D752B7"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Yıllık Ücretli İzin Yönetmeliği’nin 6. maddesi gereğince, izin kesintisiz verilmelidir; ancak tarafların mutabakatı ile bir bölümü 10 günden az olmamak üzere bölünebilir.</w:t>
      </w:r>
    </w:p>
    <w:p w14:paraId="598D1198" w14:textId="77777777" w:rsid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İşveren, yıl içinde verilen farklı izinleri yıllık izin yerine sayamaz.</w:t>
      </w:r>
    </w:p>
    <w:p w14:paraId="3A831721" w14:textId="77777777" w:rsidR="000F1714" w:rsidRPr="00697D07" w:rsidRDefault="000F1714" w:rsidP="000F1714">
      <w:pPr>
        <w:pStyle w:val="ListeParagraf"/>
        <w:tabs>
          <w:tab w:val="left" w:pos="0"/>
        </w:tabs>
        <w:spacing w:after="0"/>
        <w:ind w:left="0"/>
        <w:jc w:val="both"/>
        <w:rPr>
          <w:rFonts w:ascii="Times New Roman" w:hAnsi="Times New Roman" w:cs="Times New Roman"/>
          <w:sz w:val="22"/>
          <w:szCs w:val="22"/>
        </w:rPr>
      </w:pPr>
    </w:p>
    <w:p w14:paraId="13E8C944"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b/>
          <w:bCs/>
          <w:sz w:val="22"/>
          <w:szCs w:val="22"/>
        </w:rPr>
        <w:t>İzin Kullandırmamanın Sonuçları</w:t>
      </w:r>
    </w:p>
    <w:p w14:paraId="647DEF65"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 xml:space="preserve">Yıllık izin hakkını </w:t>
      </w:r>
      <w:proofErr w:type="gramStart"/>
      <w:r w:rsidRPr="00697D07">
        <w:rPr>
          <w:rFonts w:ascii="Times New Roman" w:hAnsi="Times New Roman" w:cs="Times New Roman"/>
          <w:sz w:val="22"/>
          <w:szCs w:val="22"/>
        </w:rPr>
        <w:t>kullandırmamak,</w:t>
      </w:r>
      <w:proofErr w:type="gramEnd"/>
      <w:r w:rsidRPr="00697D07">
        <w:rPr>
          <w:rFonts w:ascii="Times New Roman" w:hAnsi="Times New Roman" w:cs="Times New Roman"/>
          <w:sz w:val="22"/>
          <w:szCs w:val="22"/>
        </w:rPr>
        <w:t xml:space="preserve"> hem idari hem hukuki yaptırımlara yol açabilir.</w:t>
      </w:r>
    </w:p>
    <w:p w14:paraId="4E55F0A6"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İdari açıdan:</w:t>
      </w:r>
    </w:p>
    <w:p w14:paraId="51FDECEA"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İş Kanunu’nun 103. maddesi uyarınca, yıllık izinleri eksik kullandıran, bölen veya izin ücretini yanlış ödeyen işverene her işçi için idari para cezası uygulanır.</w:t>
      </w:r>
    </w:p>
    <w:p w14:paraId="1576BA55"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Hukuki açıdan:</w:t>
      </w:r>
    </w:p>
    <w:p w14:paraId="06D702E2"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İş Kanunu’nun 24. maddesi, izin hakkı engellenen işçiye “haklı nedenle fesih” hakkı verir.</w:t>
      </w:r>
    </w:p>
    <w:p w14:paraId="01964DD4"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Bu durumda işçi, sözleşmesini tek taraflı sona erdirip kıdem tazminatına hak kazanabilir.</w:t>
      </w:r>
    </w:p>
    <w:p w14:paraId="7E347A8E"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İzin hakkının kullandırılmaması, aynı zamanda “iş sağlığı ve güvenliği” kapsamında da değerlendirilebilir.</w:t>
      </w:r>
    </w:p>
    <w:p w14:paraId="3E4E90CC" w14:textId="77777777" w:rsid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Uzun süre dinlenmeden çalışan personelde iş kazası riski artar; bu durumda sorumluluk yine işverene aittir.</w:t>
      </w:r>
    </w:p>
    <w:p w14:paraId="749C7C7B" w14:textId="77777777" w:rsidR="000F1714" w:rsidRPr="00697D07" w:rsidRDefault="000F1714" w:rsidP="000F1714">
      <w:pPr>
        <w:pStyle w:val="ListeParagraf"/>
        <w:tabs>
          <w:tab w:val="left" w:pos="0"/>
        </w:tabs>
        <w:spacing w:after="0"/>
        <w:ind w:left="0"/>
        <w:jc w:val="both"/>
        <w:rPr>
          <w:rFonts w:ascii="Times New Roman" w:hAnsi="Times New Roman" w:cs="Times New Roman"/>
          <w:sz w:val="22"/>
          <w:szCs w:val="22"/>
        </w:rPr>
      </w:pPr>
    </w:p>
    <w:p w14:paraId="6715C730"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b/>
          <w:bCs/>
          <w:sz w:val="22"/>
          <w:szCs w:val="22"/>
        </w:rPr>
        <w:t>Kullanılmayan İzin Ücretinin Ödenmesi</w:t>
      </w:r>
    </w:p>
    <w:p w14:paraId="4987578D"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İş sözleşmesi sona erdiğinde, işçinin kullanmadığı izin hakları ücrete dönüşür.</w:t>
      </w:r>
    </w:p>
    <w:p w14:paraId="68369144"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Yani “izin kullanmadı, hakkı yandı” gibi bir durum söz konusu değildir.</w:t>
      </w:r>
    </w:p>
    <w:p w14:paraId="106FBDC4"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İzin sürelerine ait ücret, işçinin son brüt ücreti üzerinden hesaplanır ve sözleşmenin bittiği tarihte ödenir.</w:t>
      </w:r>
    </w:p>
    <w:p w14:paraId="29CFB670"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Bu yükümlülüğün yerine getirilmemesi halinde işveren, faiz ve tazminat sorumluluğu ile karşılaşabilir.</w:t>
      </w:r>
    </w:p>
    <w:p w14:paraId="20969CF0" w14:textId="77777777" w:rsid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Bu nedenle insan kaynakları departmanının her çalışanın izin dengesini düzenli olarak takip etmesi gerekir.</w:t>
      </w:r>
    </w:p>
    <w:p w14:paraId="38ECF882" w14:textId="77777777" w:rsidR="000F1714" w:rsidRPr="00697D07" w:rsidRDefault="000F1714" w:rsidP="000F1714">
      <w:pPr>
        <w:pStyle w:val="ListeParagraf"/>
        <w:tabs>
          <w:tab w:val="left" w:pos="0"/>
        </w:tabs>
        <w:spacing w:after="0"/>
        <w:ind w:left="0"/>
        <w:jc w:val="both"/>
        <w:rPr>
          <w:rFonts w:ascii="Times New Roman" w:hAnsi="Times New Roman" w:cs="Times New Roman"/>
          <w:sz w:val="22"/>
          <w:szCs w:val="22"/>
        </w:rPr>
      </w:pPr>
    </w:p>
    <w:p w14:paraId="4D0F6A25"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b/>
          <w:bCs/>
          <w:sz w:val="22"/>
          <w:szCs w:val="22"/>
        </w:rPr>
        <w:t>İzin Kayıtlarının Tutulması</w:t>
      </w:r>
    </w:p>
    <w:p w14:paraId="6367E7CE"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Yıllık Ücretli İzin Yönetmeliği’nin 20. maddesi, işverenin her çalışan için izin kayıt belgesi tutma zorunluluğunu getirir.</w:t>
      </w:r>
    </w:p>
    <w:p w14:paraId="2434A5ED"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Bu belgede işçinin izin başlangıç ve bitiş tarihleri, izin süresi ve varsa yol izni bilgileri bulunur.</w:t>
      </w:r>
    </w:p>
    <w:p w14:paraId="12CE31A5"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Denetimlerde bu kayıtların ibraz edilememesi, ceza ve idari yaptırımlara neden olabilir.</w:t>
      </w:r>
    </w:p>
    <w:p w14:paraId="0B53316E" w14:textId="77777777" w:rsid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Ayrıca kayıt sistemi, işverenin kendi güvenliği için de önemli bir delil niteliğindedir.</w:t>
      </w:r>
    </w:p>
    <w:p w14:paraId="305EDCD5" w14:textId="77777777" w:rsidR="00C2431E" w:rsidRDefault="00C2431E" w:rsidP="000F1714">
      <w:pPr>
        <w:pStyle w:val="ListeParagraf"/>
        <w:tabs>
          <w:tab w:val="left" w:pos="0"/>
        </w:tabs>
        <w:spacing w:after="0"/>
        <w:ind w:left="0"/>
        <w:jc w:val="both"/>
        <w:rPr>
          <w:rFonts w:ascii="Times New Roman" w:hAnsi="Times New Roman" w:cs="Times New Roman"/>
          <w:sz w:val="22"/>
          <w:szCs w:val="22"/>
        </w:rPr>
      </w:pPr>
    </w:p>
    <w:p w14:paraId="6DE0EA60" w14:textId="77777777" w:rsidR="000F1714" w:rsidRPr="00697D07" w:rsidRDefault="000F1714" w:rsidP="000F1714">
      <w:pPr>
        <w:pStyle w:val="ListeParagraf"/>
        <w:tabs>
          <w:tab w:val="left" w:pos="0"/>
        </w:tabs>
        <w:spacing w:after="0"/>
        <w:ind w:left="0"/>
        <w:jc w:val="both"/>
        <w:rPr>
          <w:rFonts w:ascii="Times New Roman" w:hAnsi="Times New Roman" w:cs="Times New Roman"/>
          <w:sz w:val="22"/>
          <w:szCs w:val="22"/>
        </w:rPr>
      </w:pPr>
    </w:p>
    <w:p w14:paraId="119BFC11"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b/>
          <w:bCs/>
          <w:sz w:val="22"/>
          <w:szCs w:val="22"/>
        </w:rPr>
        <w:lastRenderedPageBreak/>
        <w:t>Riskleri Azaltmak İçin Ne Yapılmalı?</w:t>
      </w:r>
    </w:p>
    <w:p w14:paraId="2821C702"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Her çalışanın izin takibi yıllık izin çizelgesi üzerinden yapılmalı.</w:t>
      </w:r>
    </w:p>
    <w:p w14:paraId="32DC5F5C"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İzin kullanımları yazılı veya dijital onayla belgelenmeli.</w:t>
      </w:r>
    </w:p>
    <w:p w14:paraId="4B4318C6"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İK departmanı, yıllık izin haklarını en az üç ay önceden planlamalı.</w:t>
      </w:r>
    </w:p>
    <w:p w14:paraId="681A414A" w14:textId="77777777" w:rsidR="00697D07" w:rsidRP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İşten ayrılan çalışanlara ait kullanılmayan izin ücretleri zamanında ödenmeli.</w:t>
      </w:r>
    </w:p>
    <w:p w14:paraId="52479A29" w14:textId="77777777" w:rsidR="00697D07" w:rsidRDefault="00697D07" w:rsidP="000F1714">
      <w:pPr>
        <w:pStyle w:val="ListeParagraf"/>
        <w:tabs>
          <w:tab w:val="left" w:pos="0"/>
        </w:tabs>
        <w:spacing w:after="0"/>
        <w:ind w:left="0"/>
        <w:jc w:val="both"/>
        <w:rPr>
          <w:rFonts w:ascii="Times New Roman" w:hAnsi="Times New Roman" w:cs="Times New Roman"/>
          <w:sz w:val="22"/>
          <w:szCs w:val="22"/>
        </w:rPr>
      </w:pPr>
      <w:r w:rsidRPr="00697D07">
        <w:rPr>
          <w:rFonts w:ascii="Times New Roman" w:hAnsi="Times New Roman" w:cs="Times New Roman"/>
          <w:sz w:val="22"/>
          <w:szCs w:val="22"/>
        </w:rPr>
        <w:t xml:space="preserve">Bu </w:t>
      </w:r>
      <w:proofErr w:type="gramStart"/>
      <w:r w:rsidRPr="00697D07">
        <w:rPr>
          <w:rFonts w:ascii="Times New Roman" w:hAnsi="Times New Roman" w:cs="Times New Roman"/>
          <w:sz w:val="22"/>
          <w:szCs w:val="22"/>
        </w:rPr>
        <w:t>adımlar,</w:t>
      </w:r>
      <w:proofErr w:type="gramEnd"/>
      <w:r w:rsidRPr="00697D07">
        <w:rPr>
          <w:rFonts w:ascii="Times New Roman" w:hAnsi="Times New Roman" w:cs="Times New Roman"/>
          <w:sz w:val="22"/>
          <w:szCs w:val="22"/>
        </w:rPr>
        <w:t xml:space="preserve"> hem mevzuata uyum sağlar hem de işletme içi huzuru güçlendirir.</w:t>
      </w:r>
    </w:p>
    <w:p w14:paraId="68853642" w14:textId="77777777" w:rsidR="000F1714" w:rsidRDefault="000F1714" w:rsidP="000F1714">
      <w:pPr>
        <w:pStyle w:val="ListeParagraf"/>
        <w:tabs>
          <w:tab w:val="left" w:pos="0"/>
        </w:tabs>
        <w:spacing w:after="0"/>
        <w:ind w:left="0"/>
        <w:jc w:val="both"/>
        <w:rPr>
          <w:rFonts w:ascii="Times New Roman" w:hAnsi="Times New Roman" w:cs="Times New Roman"/>
          <w:sz w:val="22"/>
          <w:szCs w:val="22"/>
        </w:rPr>
      </w:pPr>
    </w:p>
    <w:p w14:paraId="0936ACF8" w14:textId="77777777" w:rsidR="000F1714" w:rsidRDefault="000F1714" w:rsidP="000F1714">
      <w:pPr>
        <w:pStyle w:val="ListeParagraf"/>
        <w:tabs>
          <w:tab w:val="left" w:pos="0"/>
        </w:tabs>
        <w:spacing w:after="0"/>
        <w:ind w:left="0"/>
        <w:jc w:val="both"/>
        <w:rPr>
          <w:rFonts w:ascii="Times New Roman" w:hAnsi="Times New Roman" w:cs="Times New Roman"/>
          <w:sz w:val="22"/>
          <w:szCs w:val="22"/>
        </w:rPr>
      </w:pPr>
    </w:p>
    <w:p w14:paraId="4E6779B0" w14:textId="77777777" w:rsidR="000F1714" w:rsidRPr="00D96A90" w:rsidRDefault="000F1714" w:rsidP="000F1714">
      <w:pPr>
        <w:pStyle w:val="ListeParagraf"/>
        <w:tabs>
          <w:tab w:val="left" w:pos="0"/>
        </w:tabs>
        <w:spacing w:after="0"/>
        <w:ind w:left="0"/>
        <w:jc w:val="both"/>
        <w:rPr>
          <w:rFonts w:ascii="Times New Roman" w:hAnsi="Times New Roman" w:cs="Times New Roman"/>
          <w:b/>
          <w:bCs/>
          <w:sz w:val="22"/>
          <w:szCs w:val="22"/>
        </w:rPr>
      </w:pPr>
    </w:p>
    <w:p w14:paraId="1076C806" w14:textId="1E389326" w:rsidR="00697D07" w:rsidRPr="00D96A90" w:rsidRDefault="00D96A90" w:rsidP="00D96A90">
      <w:pPr>
        <w:pStyle w:val="ListeParagraf"/>
        <w:spacing w:after="0"/>
        <w:ind w:left="284"/>
        <w:jc w:val="right"/>
        <w:rPr>
          <w:rFonts w:ascii="Times New Roman" w:hAnsi="Times New Roman" w:cs="Times New Roman"/>
          <w:b/>
          <w:bCs/>
          <w:sz w:val="22"/>
          <w:szCs w:val="22"/>
        </w:rPr>
      </w:pPr>
      <w:r w:rsidRPr="00D96A90">
        <w:rPr>
          <w:rFonts w:ascii="Times New Roman" w:hAnsi="Times New Roman" w:cs="Times New Roman"/>
          <w:b/>
          <w:bCs/>
          <w:sz w:val="22"/>
          <w:szCs w:val="22"/>
        </w:rPr>
        <w:t>KASIM 2025</w:t>
      </w:r>
    </w:p>
    <w:p w14:paraId="1E21031F" w14:textId="77777777"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ŞİRKETİN SIRLARINI İFŞA EDEN ÇALIŞAN İÇİN İŞVERENİN BAŞVURABİLECEĞİ YOLLAR</w:t>
      </w:r>
    </w:p>
    <w:p w14:paraId="22327323" w14:textId="77777777" w:rsidR="00154AAE" w:rsidRDefault="00154AAE" w:rsidP="000F1714">
      <w:pPr>
        <w:pStyle w:val="ListeParagraf"/>
        <w:spacing w:after="0"/>
        <w:ind w:left="284"/>
        <w:jc w:val="both"/>
        <w:rPr>
          <w:rFonts w:ascii="Times New Roman" w:hAnsi="Times New Roman" w:cs="Times New Roman"/>
          <w:sz w:val="22"/>
          <w:szCs w:val="22"/>
        </w:rPr>
      </w:pPr>
    </w:p>
    <w:p w14:paraId="135270C6"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Kurumsal sırların korunması, şirketin rekabet gücü ve güvenilirliği açısından hayati öneme sahiptir.</w:t>
      </w:r>
    </w:p>
    <w:p w14:paraId="5CBD0E35"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Çalışan tarafından gizli bilgilerin ifşa edilmesi durumunda işverenin başvurabileceği temel hukuki yollar aşağıda açıklanmaktadır.</w:t>
      </w:r>
    </w:p>
    <w:p w14:paraId="032172CA"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5BD6DC85"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1. Olayın Hızlı Tespiti ve Delil Toplama</w:t>
      </w:r>
    </w:p>
    <w:p w14:paraId="5CD6CF47"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İfşa iddiası ile karşılaşıldığında öncelik, olayın kapsamını belirlemek ve delilleri güvence altına almaktır.</w:t>
      </w:r>
    </w:p>
    <w:p w14:paraId="0DE9D067" w14:textId="61F63B35" w:rsidR="000F1714"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Bilgi işlem kayıtları, e-posta trafiği, erişim logları ve ilgili cihazların görüntüleri adli bilişim uzmanları aracılığıyla kayda alınmalıdır.</w:t>
      </w:r>
    </w:p>
    <w:p w14:paraId="5ED344B3"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Delil zincirinin korunması, ileride yapılacak hukuki başvuruların etkinliğini doğrudan etkilemektedir.</w:t>
      </w:r>
    </w:p>
    <w:p w14:paraId="454C66B8"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69FF69C8"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2. İdari ve Disiplin Süreçleri</w:t>
      </w:r>
    </w:p>
    <w:p w14:paraId="068A06EF"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İç düzenlemelere ve iş sözleşmesine göre disiplin soruşturması başlatılmalıdır.</w:t>
      </w:r>
    </w:p>
    <w:p w14:paraId="7838BA2A"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Soruşturma usulüne uygun yürütülmeli; çalışan savunması alınmalı ve sonuçlar yazılı kayıt altına alınmalıdır.</w:t>
      </w:r>
    </w:p>
    <w:p w14:paraId="334AD811"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Soruşturma sonucuna göre disiplin cezaları, uyarıdan iş akdinin feshi dâhil olmak üzere uygulanabilmektedir.</w:t>
      </w:r>
    </w:p>
    <w:p w14:paraId="65812237"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594FD2ED"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3. İş Akdinin Haklı Nedene Dayanarak Feshi</w:t>
      </w:r>
    </w:p>
    <w:p w14:paraId="665BA443"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Gizliliğin ağır ihlali hâlinde, işverenin haklı nedenle derhal fesih hakkı doğabilmektedir.</w:t>
      </w:r>
    </w:p>
    <w:p w14:paraId="64B99A32"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Fesih kararı, işverenin elinde belgelenmiş ve usulüne uygun bir soruşturma sonucuna dayanmalıdır.</w:t>
      </w:r>
    </w:p>
    <w:p w14:paraId="3F5D53AB"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Fesih bildirimleri ve gerekçeleri yazılı olarak düzenlenmelidir.</w:t>
      </w:r>
    </w:p>
    <w:p w14:paraId="7CD3D365"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7A5FA959"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4. İhtar (</w:t>
      </w:r>
      <w:proofErr w:type="spellStart"/>
      <w:r w:rsidRPr="00154AAE">
        <w:rPr>
          <w:rFonts w:ascii="Times New Roman" w:hAnsi="Times New Roman" w:cs="Times New Roman"/>
          <w:b/>
          <w:bCs/>
          <w:sz w:val="22"/>
          <w:szCs w:val="22"/>
        </w:rPr>
        <w:t>Cease</w:t>
      </w:r>
      <w:proofErr w:type="spellEnd"/>
      <w:r w:rsidRPr="00154AAE">
        <w:rPr>
          <w:rFonts w:ascii="Times New Roman" w:hAnsi="Times New Roman" w:cs="Times New Roman"/>
          <w:b/>
          <w:bCs/>
          <w:sz w:val="22"/>
          <w:szCs w:val="22"/>
        </w:rPr>
        <w:t xml:space="preserve"> </w:t>
      </w:r>
      <w:proofErr w:type="spellStart"/>
      <w:r w:rsidRPr="00154AAE">
        <w:rPr>
          <w:rFonts w:ascii="Times New Roman" w:hAnsi="Times New Roman" w:cs="Times New Roman"/>
          <w:b/>
          <w:bCs/>
          <w:sz w:val="22"/>
          <w:szCs w:val="22"/>
        </w:rPr>
        <w:t>and</w:t>
      </w:r>
      <w:proofErr w:type="spellEnd"/>
      <w:r w:rsidRPr="00154AAE">
        <w:rPr>
          <w:rFonts w:ascii="Times New Roman" w:hAnsi="Times New Roman" w:cs="Times New Roman"/>
          <w:b/>
          <w:bCs/>
          <w:sz w:val="22"/>
          <w:szCs w:val="22"/>
        </w:rPr>
        <w:t xml:space="preserve"> </w:t>
      </w:r>
      <w:proofErr w:type="spellStart"/>
      <w:r w:rsidRPr="00154AAE">
        <w:rPr>
          <w:rFonts w:ascii="Times New Roman" w:hAnsi="Times New Roman" w:cs="Times New Roman"/>
          <w:b/>
          <w:bCs/>
          <w:sz w:val="22"/>
          <w:szCs w:val="22"/>
        </w:rPr>
        <w:t>Desist</w:t>
      </w:r>
      <w:proofErr w:type="spellEnd"/>
      <w:r w:rsidRPr="00154AAE">
        <w:rPr>
          <w:rFonts w:ascii="Times New Roman" w:hAnsi="Times New Roman" w:cs="Times New Roman"/>
          <w:b/>
          <w:bCs/>
          <w:sz w:val="22"/>
          <w:szCs w:val="22"/>
        </w:rPr>
        <w:t>) ve İadesi Talebi</w:t>
      </w:r>
    </w:p>
    <w:p w14:paraId="42F0C08E"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İfşa edilen belgeler veya kopyalar tespit edildiğinde, çalışan veya üçüncü taraflara karşı yazılı ihtar gönderilmesi mümkündür.</w:t>
      </w:r>
    </w:p>
    <w:p w14:paraId="2917DFEE"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Bu ihtar ile materyallerin iadesi, yayımın durdurulması ve erişimin engellenmesi talep edilebilmektedir.</w:t>
      </w:r>
    </w:p>
    <w:p w14:paraId="13F666DC"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İhtar mesajları, ileride yapılacak hukuki talepler için başlangıç delili niteliği taşımaktadır.</w:t>
      </w:r>
    </w:p>
    <w:p w14:paraId="705DAC76"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6ED4BEA4"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5. Tedbir Talebi ve İhtiyati Tedbir / İhtiyati Haciz</w:t>
      </w:r>
    </w:p>
    <w:p w14:paraId="72A286AC"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Olayın mahiyetine göre, sulh hukuk mahkemesinden tedbir kararı talep edilebilmektedir.</w:t>
      </w:r>
    </w:p>
    <w:p w14:paraId="6015604E"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Erişimin engellenmesi, içeriklerin yayından kaldırılması veya fiziksel materyallerin muhafazası için ihtiyati tedbir uygulanabilmektedir.</w:t>
      </w:r>
    </w:p>
    <w:p w14:paraId="2F1C78DD"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Bu taleplerin dayanacağı delillerin mahkemeye sunulması gerekmektedir.</w:t>
      </w:r>
    </w:p>
    <w:p w14:paraId="35336BD7"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725578AB"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6. Tazminat Davaları</w:t>
      </w:r>
    </w:p>
    <w:p w14:paraId="540335C6"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İfşanın şirket açısından doğurduğu zararların tazmini için işçi aleyhine tazminat davası açılabilmektedir.</w:t>
      </w:r>
    </w:p>
    <w:p w14:paraId="1A32DE4C"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Zararın tespit edilmesi, hesaplanması ve ispatı önem taşımaktadır; bu amaçla bağımsız bilirkişi incelemesi talep edilebilmektedir.</w:t>
      </w:r>
    </w:p>
    <w:p w14:paraId="2C86DCA2"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Sözleşmede öngörülen cezai şartlar varsa, bunlara dayanılarak da hak talep edilebilmektedir.</w:t>
      </w:r>
    </w:p>
    <w:p w14:paraId="3B4EE745"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4CCAF038"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7. Ceza Hukuku Yolları</w:t>
      </w:r>
    </w:p>
    <w:p w14:paraId="206E651E"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İfşa içeriği kapsamında suç unsuru bulunması hâlinde, savcılığa suç duyurusunda bulunulmalıdır.</w:t>
      </w:r>
    </w:p>
    <w:p w14:paraId="462A0265"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Ticari sırların açıklanması, bilişim sistemlerine yetkisiz erişim, belge hırsızlığı veya dolandırıcılık gibi fiiller ceza soruşturmasına konu olabilmektedir.</w:t>
      </w:r>
    </w:p>
    <w:p w14:paraId="54AAB601"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Suç duyurusu delillerin korunması ve adli sürecin başlatılması açısından önem taşımaktadır.</w:t>
      </w:r>
    </w:p>
    <w:p w14:paraId="0AB0EDB2"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341531FC"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8. Sözleşmesel ve Hukuki Önlemlerin Güçlendirilmesi</w:t>
      </w:r>
    </w:p>
    <w:p w14:paraId="2C2B606C"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Mevcut iş sözleşmeleri, gizlilik ve rekabet hükümleri ile yan sözleşmeler gözden geçirilmelidir.</w:t>
      </w:r>
    </w:p>
    <w:p w14:paraId="171EDAD7"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Gizlilik yükümlülükleri, veri erişim prosedürleri, disiplin hükümleri ve ihlal durumunda uygulanacak yaptırımlar açık biçimde düzenlenmelidir.</w:t>
      </w:r>
    </w:p>
    <w:p w14:paraId="15BE2826"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Yeni işe alımlarda gizlilik taahhütleri ve güvenlik eğitimleri rutin hale getirilmelidir.</w:t>
      </w:r>
    </w:p>
    <w:p w14:paraId="72FED741"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3B16FC91"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9. İtibar ve İletişim Yönetimi</w:t>
      </w:r>
    </w:p>
    <w:p w14:paraId="7BE41A71"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Hukuki süreçlerle paralel olarak, dış paydaşlara yönelik iletişim stratejisi belirlenmelidir.</w:t>
      </w:r>
    </w:p>
    <w:p w14:paraId="78D76419"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Basın açıklamaları dikkatle hazırlanmalı; ifşa sonucu doğrudan etkilenen taraflara yönelik bilgilendirmeler hukuk ve iletişim ekipleri koordinasyonunda yapılmalıdır.</w:t>
      </w:r>
    </w:p>
    <w:p w14:paraId="3B2CEEFC"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7A280771"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10. İş Birimleri Arası Eşgüdüm ve Önleyici Tedbirler</w:t>
      </w:r>
    </w:p>
    <w:p w14:paraId="6CB27DB3"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Hukuk, BT ve insan kaynakları birimleri arasında koordinasyon sağlanmalıdır.</w:t>
      </w:r>
    </w:p>
    <w:p w14:paraId="168D1B6A"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Erişim kontrolleri, veri sınıflandırma, şifreleme uygulamaları, düzenli denetimler ve çalışan farkındalığı eğitimleri riskleri azaltmaktadır.</w:t>
      </w:r>
    </w:p>
    <w:p w14:paraId="335973AE" w14:textId="77777777" w:rsidR="000F1714" w:rsidRPr="00154AAE" w:rsidRDefault="000F1714" w:rsidP="000F1714">
      <w:pPr>
        <w:pStyle w:val="ListeParagraf"/>
        <w:spacing w:after="0"/>
        <w:ind w:left="0"/>
        <w:jc w:val="both"/>
        <w:rPr>
          <w:rFonts w:ascii="Times New Roman" w:hAnsi="Times New Roman" w:cs="Times New Roman"/>
          <w:sz w:val="22"/>
          <w:szCs w:val="22"/>
        </w:rPr>
      </w:pPr>
    </w:p>
    <w:p w14:paraId="3E616DD3"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b/>
          <w:bCs/>
          <w:sz w:val="22"/>
          <w:szCs w:val="22"/>
        </w:rPr>
        <w:t>Değerlendirme</w:t>
      </w:r>
    </w:p>
    <w:p w14:paraId="3ABF19F5"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Kurumsal sırların ifşası halinde atılacak adımların başında hızlı delil güvence altına alma ve hukuki bildirim yükümlülüklerinin yerine getirilmesi gelmektedir.</w:t>
      </w:r>
    </w:p>
    <w:p w14:paraId="5053B1D5" w14:textId="77777777" w:rsidR="00154AAE" w:rsidRP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 xml:space="preserve">İşverenin hukuk danışmanlığı </w:t>
      </w:r>
      <w:proofErr w:type="gramStart"/>
      <w:r w:rsidRPr="00154AAE">
        <w:rPr>
          <w:rFonts w:ascii="Times New Roman" w:hAnsi="Times New Roman" w:cs="Times New Roman"/>
          <w:sz w:val="22"/>
          <w:szCs w:val="22"/>
        </w:rPr>
        <w:t>ile birlikte</w:t>
      </w:r>
      <w:proofErr w:type="gramEnd"/>
      <w:r w:rsidRPr="00154AAE">
        <w:rPr>
          <w:rFonts w:ascii="Times New Roman" w:hAnsi="Times New Roman" w:cs="Times New Roman"/>
          <w:sz w:val="22"/>
          <w:szCs w:val="22"/>
        </w:rPr>
        <w:t xml:space="preserve"> hareket etmesi, soruşturmanın usulüne uygun yürütülmesini ve hak kaybının önlenmesini temin etmektedir.</w:t>
      </w:r>
    </w:p>
    <w:p w14:paraId="35DA0C73" w14:textId="77777777" w:rsidR="00154AAE" w:rsidRDefault="00154AAE" w:rsidP="000F1714">
      <w:pPr>
        <w:pStyle w:val="ListeParagraf"/>
        <w:spacing w:after="0"/>
        <w:ind w:left="0"/>
        <w:jc w:val="both"/>
        <w:rPr>
          <w:rFonts w:ascii="Times New Roman" w:hAnsi="Times New Roman" w:cs="Times New Roman"/>
          <w:sz w:val="22"/>
          <w:szCs w:val="22"/>
        </w:rPr>
      </w:pPr>
      <w:r w:rsidRPr="00154AAE">
        <w:rPr>
          <w:rFonts w:ascii="Times New Roman" w:hAnsi="Times New Roman" w:cs="Times New Roman"/>
          <w:sz w:val="22"/>
          <w:szCs w:val="22"/>
        </w:rPr>
        <w:t>Sözleşmelerin, iç politika düzenlemelerinin ve teknik güvenlik önlemlerinin önceden güçlendirilmesi, benzer olayların tekrar riskini azaltmaktadır.</w:t>
      </w:r>
    </w:p>
    <w:p w14:paraId="5AD5D3E0" w14:textId="77777777" w:rsidR="00D96A90" w:rsidRDefault="00D96A90" w:rsidP="000F1714">
      <w:pPr>
        <w:pStyle w:val="ListeParagraf"/>
        <w:spacing w:after="0"/>
        <w:ind w:left="0"/>
        <w:jc w:val="both"/>
        <w:rPr>
          <w:rFonts w:ascii="Times New Roman" w:hAnsi="Times New Roman" w:cs="Times New Roman"/>
          <w:sz w:val="22"/>
          <w:szCs w:val="22"/>
        </w:rPr>
      </w:pPr>
    </w:p>
    <w:p w14:paraId="7B35915F" w14:textId="77777777" w:rsidR="00D96A90" w:rsidRDefault="00D96A90" w:rsidP="000F1714">
      <w:pPr>
        <w:pStyle w:val="ListeParagraf"/>
        <w:spacing w:after="0"/>
        <w:ind w:left="0"/>
        <w:jc w:val="both"/>
        <w:rPr>
          <w:rFonts w:ascii="Times New Roman" w:hAnsi="Times New Roman" w:cs="Times New Roman"/>
          <w:sz w:val="22"/>
          <w:szCs w:val="22"/>
        </w:rPr>
      </w:pPr>
    </w:p>
    <w:p w14:paraId="77B79BB9" w14:textId="77777777" w:rsidR="00D96A90" w:rsidRDefault="00D96A90" w:rsidP="000F1714">
      <w:pPr>
        <w:pStyle w:val="ListeParagraf"/>
        <w:spacing w:after="0"/>
        <w:ind w:left="0"/>
        <w:jc w:val="both"/>
        <w:rPr>
          <w:rFonts w:ascii="Times New Roman" w:hAnsi="Times New Roman" w:cs="Times New Roman"/>
          <w:sz w:val="22"/>
          <w:szCs w:val="22"/>
        </w:rPr>
      </w:pPr>
    </w:p>
    <w:p w14:paraId="359C59D4" w14:textId="77777777" w:rsidR="00D96A90" w:rsidRDefault="00D96A90" w:rsidP="000F1714">
      <w:pPr>
        <w:pStyle w:val="ListeParagraf"/>
        <w:spacing w:after="0"/>
        <w:ind w:left="0"/>
        <w:jc w:val="both"/>
        <w:rPr>
          <w:rFonts w:ascii="Times New Roman" w:hAnsi="Times New Roman" w:cs="Times New Roman"/>
          <w:sz w:val="22"/>
          <w:szCs w:val="22"/>
        </w:rPr>
      </w:pPr>
    </w:p>
    <w:p w14:paraId="0262B75F" w14:textId="77777777" w:rsidR="00D96A90" w:rsidRDefault="00D96A90" w:rsidP="000F1714">
      <w:pPr>
        <w:pStyle w:val="ListeParagraf"/>
        <w:spacing w:after="0"/>
        <w:ind w:left="0"/>
        <w:jc w:val="both"/>
        <w:rPr>
          <w:rFonts w:ascii="Times New Roman" w:hAnsi="Times New Roman" w:cs="Times New Roman"/>
          <w:sz w:val="22"/>
          <w:szCs w:val="22"/>
        </w:rPr>
      </w:pPr>
    </w:p>
    <w:p w14:paraId="3A12C01D" w14:textId="77777777" w:rsidR="00D96A90" w:rsidRDefault="00D96A90" w:rsidP="000F1714">
      <w:pPr>
        <w:pStyle w:val="ListeParagraf"/>
        <w:spacing w:after="0"/>
        <w:ind w:left="0"/>
        <w:jc w:val="both"/>
        <w:rPr>
          <w:rFonts w:ascii="Times New Roman" w:hAnsi="Times New Roman" w:cs="Times New Roman"/>
          <w:sz w:val="22"/>
          <w:szCs w:val="22"/>
        </w:rPr>
      </w:pPr>
    </w:p>
    <w:p w14:paraId="2FCBCCB4" w14:textId="77777777" w:rsidR="00D96A90" w:rsidRDefault="00D96A90" w:rsidP="000F1714">
      <w:pPr>
        <w:pStyle w:val="ListeParagraf"/>
        <w:spacing w:after="0"/>
        <w:ind w:left="0"/>
        <w:jc w:val="both"/>
        <w:rPr>
          <w:rFonts w:ascii="Times New Roman" w:hAnsi="Times New Roman" w:cs="Times New Roman"/>
          <w:sz w:val="22"/>
          <w:szCs w:val="22"/>
        </w:rPr>
      </w:pPr>
    </w:p>
    <w:p w14:paraId="0DB03376" w14:textId="77777777" w:rsidR="00D96A90" w:rsidRDefault="00D96A90" w:rsidP="000F1714">
      <w:pPr>
        <w:pStyle w:val="ListeParagraf"/>
        <w:spacing w:after="0"/>
        <w:ind w:left="0"/>
        <w:jc w:val="both"/>
        <w:rPr>
          <w:rFonts w:ascii="Times New Roman" w:hAnsi="Times New Roman" w:cs="Times New Roman"/>
          <w:sz w:val="22"/>
          <w:szCs w:val="22"/>
        </w:rPr>
      </w:pPr>
    </w:p>
    <w:p w14:paraId="597AE8F8" w14:textId="77777777" w:rsidR="00D96A90" w:rsidRDefault="00D96A90" w:rsidP="000F1714">
      <w:pPr>
        <w:pStyle w:val="ListeParagraf"/>
        <w:spacing w:after="0"/>
        <w:ind w:left="0"/>
        <w:jc w:val="both"/>
        <w:rPr>
          <w:rFonts w:ascii="Times New Roman" w:hAnsi="Times New Roman" w:cs="Times New Roman"/>
          <w:sz w:val="22"/>
          <w:szCs w:val="22"/>
        </w:rPr>
      </w:pPr>
    </w:p>
    <w:p w14:paraId="7F22E6AA" w14:textId="77777777" w:rsidR="00D96A90" w:rsidRPr="00154AAE" w:rsidRDefault="00D96A90" w:rsidP="000F1714">
      <w:pPr>
        <w:pStyle w:val="ListeParagraf"/>
        <w:spacing w:after="0"/>
        <w:ind w:left="0"/>
        <w:jc w:val="both"/>
        <w:rPr>
          <w:rFonts w:ascii="Times New Roman" w:hAnsi="Times New Roman" w:cs="Times New Roman"/>
          <w:sz w:val="22"/>
          <w:szCs w:val="22"/>
        </w:rPr>
      </w:pPr>
    </w:p>
    <w:p w14:paraId="0369978D" w14:textId="77777777" w:rsidR="00154AAE" w:rsidRDefault="00154AAE" w:rsidP="000F1714">
      <w:pPr>
        <w:pStyle w:val="ListeParagraf"/>
        <w:spacing w:after="0"/>
        <w:ind w:left="284"/>
        <w:jc w:val="both"/>
        <w:rPr>
          <w:rFonts w:ascii="Times New Roman" w:hAnsi="Times New Roman" w:cs="Times New Roman"/>
          <w:sz w:val="22"/>
          <w:szCs w:val="22"/>
        </w:rPr>
      </w:pPr>
    </w:p>
    <w:p w14:paraId="454F6E97" w14:textId="77777777" w:rsidR="00154AAE" w:rsidRDefault="00154AAE" w:rsidP="00D96A90">
      <w:pPr>
        <w:pStyle w:val="ListeParagraf"/>
        <w:spacing w:after="0"/>
        <w:ind w:left="284"/>
        <w:jc w:val="right"/>
        <w:rPr>
          <w:rFonts w:ascii="Times New Roman" w:hAnsi="Times New Roman" w:cs="Times New Roman"/>
          <w:sz w:val="22"/>
          <w:szCs w:val="22"/>
        </w:rPr>
      </w:pPr>
    </w:p>
    <w:p w14:paraId="5FF9E73B" w14:textId="0F562C3A" w:rsidR="00D96A90" w:rsidRPr="008034EC" w:rsidRDefault="008034EC" w:rsidP="00D96A90">
      <w:pPr>
        <w:pStyle w:val="ListeParagraf"/>
        <w:spacing w:after="0"/>
        <w:ind w:left="284"/>
        <w:jc w:val="right"/>
        <w:rPr>
          <w:rFonts w:ascii="Times New Roman" w:hAnsi="Times New Roman" w:cs="Times New Roman"/>
          <w:b/>
          <w:bCs/>
          <w:sz w:val="22"/>
          <w:szCs w:val="22"/>
        </w:rPr>
      </w:pPr>
      <w:r w:rsidRPr="008034EC">
        <w:rPr>
          <w:rFonts w:ascii="Times New Roman" w:hAnsi="Times New Roman" w:cs="Times New Roman"/>
          <w:b/>
          <w:bCs/>
          <w:sz w:val="22"/>
          <w:szCs w:val="22"/>
        </w:rPr>
        <w:t>KASIM 2025</w:t>
      </w:r>
    </w:p>
    <w:p w14:paraId="73818BFC" w14:textId="77777777" w:rsidR="00CE4199"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MOBBİNG KONUSUNDA İŞVERENLER NELERE DİKKAT ETMELİ?</w:t>
      </w:r>
    </w:p>
    <w:p w14:paraId="34FCFD51" w14:textId="77777777" w:rsidR="006B502F" w:rsidRPr="006B502F" w:rsidRDefault="006B502F" w:rsidP="006B502F">
      <w:pPr>
        <w:spacing w:after="0"/>
        <w:ind w:left="-76"/>
        <w:jc w:val="both"/>
        <w:rPr>
          <w:rFonts w:ascii="Times New Roman" w:hAnsi="Times New Roman" w:cs="Times New Roman"/>
          <w:sz w:val="22"/>
          <w:szCs w:val="22"/>
        </w:rPr>
      </w:pPr>
    </w:p>
    <w:p w14:paraId="5F920235" w14:textId="77777777"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Mobbing, işyerinde çalışanı sistematik baskı, dışlama ya da küçük düşürme yoluyla yıldırmaya yönelik davranışların bütünüdür. Hukukumuzda açık tanımı olmasa da farklı kanunlar işverenin bu konuda sorumluluk taşıdığını ortaya koymaktadır.</w:t>
      </w:r>
    </w:p>
    <w:p w14:paraId="13A8EB52" w14:textId="77777777" w:rsidR="006B502F" w:rsidRPr="006B502F" w:rsidRDefault="006B502F" w:rsidP="006B502F">
      <w:pPr>
        <w:spacing w:after="0"/>
        <w:ind w:left="-76"/>
        <w:jc w:val="both"/>
        <w:rPr>
          <w:rFonts w:ascii="Times New Roman" w:hAnsi="Times New Roman" w:cs="Times New Roman"/>
          <w:sz w:val="22"/>
          <w:szCs w:val="22"/>
        </w:rPr>
      </w:pPr>
    </w:p>
    <w:p w14:paraId="7F6B8FE1" w14:textId="5D5E520E"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Türk Borçlar Kanunu’nun 417. maddesine göre işveren, işçinin kişiliğini korumak ve psikolojik tacizi önlemek için gerekli tedbirleri almakla yükümlüdür. Bu hüküm, mobbing karşısında işverenin pasif kalamayacağını açıkça göstermektedir.</w:t>
      </w:r>
    </w:p>
    <w:p w14:paraId="21825DC4" w14:textId="77777777" w:rsidR="006B502F" w:rsidRPr="006B502F" w:rsidRDefault="006B502F" w:rsidP="006B502F">
      <w:pPr>
        <w:spacing w:after="0"/>
        <w:ind w:left="-76"/>
        <w:jc w:val="both"/>
        <w:rPr>
          <w:rFonts w:ascii="Times New Roman" w:hAnsi="Times New Roman" w:cs="Times New Roman"/>
          <w:b/>
          <w:bCs/>
          <w:sz w:val="22"/>
          <w:szCs w:val="22"/>
        </w:rPr>
      </w:pPr>
    </w:p>
    <w:p w14:paraId="5C7BA8C4" w14:textId="77777777" w:rsidR="006B502F" w:rsidRPr="006B502F" w:rsidRDefault="006B502F" w:rsidP="006B502F">
      <w:pPr>
        <w:spacing w:after="0"/>
        <w:ind w:left="-76"/>
        <w:jc w:val="both"/>
        <w:rPr>
          <w:rFonts w:ascii="Times New Roman" w:hAnsi="Times New Roman" w:cs="Times New Roman"/>
          <w:b/>
          <w:bCs/>
          <w:sz w:val="22"/>
          <w:szCs w:val="22"/>
        </w:rPr>
      </w:pPr>
      <w:r w:rsidRPr="006B502F">
        <w:rPr>
          <w:rFonts w:ascii="Times New Roman" w:hAnsi="Times New Roman" w:cs="Times New Roman"/>
          <w:b/>
          <w:bCs/>
          <w:sz w:val="22"/>
          <w:szCs w:val="22"/>
        </w:rPr>
        <w:t>Kişilik Haklarının Korunması</w:t>
      </w:r>
    </w:p>
    <w:p w14:paraId="0F065520" w14:textId="41B3986E"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Borçlar Kanunu’nun 417. maddesine göre işveren, işçinin kişiliğini korumalı, psikolojik tacizi önlemeli ve böyle bir durum yaşanmışsa zararın büyümesini engelleyecek önlemleri almalıdır. Bu yükümlülüklerin ihlali halinde işveren, işçinin uğradığı zarar nedeniyle tazminat sorumluluğu ile karşılaşır.</w:t>
      </w:r>
    </w:p>
    <w:p w14:paraId="2D8EE0CD" w14:textId="77777777" w:rsidR="006B502F" w:rsidRDefault="006B502F" w:rsidP="006B502F">
      <w:pPr>
        <w:spacing w:after="0"/>
        <w:ind w:left="-76"/>
        <w:jc w:val="both"/>
        <w:rPr>
          <w:rFonts w:ascii="Times New Roman" w:hAnsi="Times New Roman" w:cs="Times New Roman"/>
          <w:b/>
          <w:bCs/>
          <w:sz w:val="22"/>
          <w:szCs w:val="22"/>
        </w:rPr>
      </w:pPr>
    </w:p>
    <w:p w14:paraId="4F9A3617" w14:textId="77777777" w:rsidR="006B502F" w:rsidRDefault="006B502F" w:rsidP="006B502F">
      <w:pPr>
        <w:spacing w:after="0"/>
        <w:ind w:left="-76"/>
        <w:jc w:val="both"/>
        <w:rPr>
          <w:rFonts w:ascii="Times New Roman" w:hAnsi="Times New Roman" w:cs="Times New Roman"/>
          <w:b/>
          <w:bCs/>
          <w:sz w:val="22"/>
          <w:szCs w:val="22"/>
        </w:rPr>
      </w:pPr>
    </w:p>
    <w:p w14:paraId="015F5924" w14:textId="77777777" w:rsidR="006B502F" w:rsidRPr="006B502F" w:rsidRDefault="006B502F" w:rsidP="006B502F">
      <w:pPr>
        <w:spacing w:after="0"/>
        <w:ind w:left="-76"/>
        <w:jc w:val="both"/>
        <w:rPr>
          <w:rFonts w:ascii="Times New Roman" w:hAnsi="Times New Roman" w:cs="Times New Roman"/>
          <w:b/>
          <w:bCs/>
          <w:sz w:val="22"/>
          <w:szCs w:val="22"/>
        </w:rPr>
      </w:pPr>
    </w:p>
    <w:p w14:paraId="00FC7203" w14:textId="77777777" w:rsidR="006B502F" w:rsidRPr="006B502F" w:rsidRDefault="006B502F" w:rsidP="006B502F">
      <w:pPr>
        <w:spacing w:after="0"/>
        <w:ind w:left="-76"/>
        <w:jc w:val="both"/>
        <w:rPr>
          <w:rFonts w:ascii="Times New Roman" w:hAnsi="Times New Roman" w:cs="Times New Roman"/>
          <w:b/>
          <w:bCs/>
          <w:sz w:val="22"/>
          <w:szCs w:val="22"/>
        </w:rPr>
      </w:pPr>
      <w:r w:rsidRPr="006B502F">
        <w:rPr>
          <w:rFonts w:ascii="Times New Roman" w:hAnsi="Times New Roman" w:cs="Times New Roman"/>
          <w:b/>
          <w:bCs/>
          <w:sz w:val="22"/>
          <w:szCs w:val="22"/>
        </w:rPr>
        <w:t>Eşitlik ve Ayrımcılığın Önlenmesi</w:t>
      </w:r>
    </w:p>
    <w:p w14:paraId="6FAE9835" w14:textId="77777777"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 xml:space="preserve">Mobbing çoğu zaman ayrımcı uygulamalarla birlikte görülür. </w:t>
      </w:r>
      <w:proofErr w:type="gramStart"/>
      <w:r w:rsidRPr="006B502F">
        <w:rPr>
          <w:rFonts w:ascii="Times New Roman" w:hAnsi="Times New Roman" w:cs="Times New Roman"/>
          <w:sz w:val="22"/>
          <w:szCs w:val="22"/>
        </w:rPr>
        <w:t>İş Kanununun</w:t>
      </w:r>
      <w:proofErr w:type="gramEnd"/>
      <w:r w:rsidRPr="006B502F">
        <w:rPr>
          <w:rFonts w:ascii="Times New Roman" w:hAnsi="Times New Roman" w:cs="Times New Roman"/>
          <w:sz w:val="22"/>
          <w:szCs w:val="22"/>
        </w:rPr>
        <w:t xml:space="preserve"> 5. maddesine göre işveren, dil, cinsiyet, inanç veya benzeri sebeplerle farklı işlem yapamaz.</w:t>
      </w:r>
    </w:p>
    <w:p w14:paraId="18120F29" w14:textId="77777777"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Ayrıca aynı Kanunun 24. maddesi, işçiye şeref ve haysiyet kırıcı davranışlar veya işyerinde cinsel taciz gibi durumlarda iş sözleşmesini haklı nedenle feshetme hakkı verir.</w:t>
      </w:r>
    </w:p>
    <w:p w14:paraId="7CCBB54E" w14:textId="77777777" w:rsidR="006B502F" w:rsidRPr="006B502F" w:rsidRDefault="006B502F" w:rsidP="006B502F">
      <w:pPr>
        <w:spacing w:after="0"/>
        <w:ind w:left="-76"/>
        <w:jc w:val="both"/>
        <w:rPr>
          <w:rFonts w:ascii="Times New Roman" w:hAnsi="Times New Roman" w:cs="Times New Roman"/>
          <w:b/>
          <w:bCs/>
          <w:sz w:val="22"/>
          <w:szCs w:val="22"/>
        </w:rPr>
      </w:pPr>
    </w:p>
    <w:p w14:paraId="07DC581D" w14:textId="77777777" w:rsidR="006B502F" w:rsidRPr="006B502F" w:rsidRDefault="006B502F" w:rsidP="006B502F">
      <w:pPr>
        <w:spacing w:after="0"/>
        <w:ind w:left="-76"/>
        <w:jc w:val="both"/>
        <w:rPr>
          <w:rFonts w:ascii="Times New Roman" w:hAnsi="Times New Roman" w:cs="Times New Roman"/>
          <w:b/>
          <w:bCs/>
          <w:sz w:val="22"/>
          <w:szCs w:val="22"/>
        </w:rPr>
      </w:pPr>
      <w:r w:rsidRPr="006B502F">
        <w:rPr>
          <w:rFonts w:ascii="Times New Roman" w:hAnsi="Times New Roman" w:cs="Times New Roman"/>
          <w:b/>
          <w:bCs/>
          <w:sz w:val="22"/>
          <w:szCs w:val="22"/>
        </w:rPr>
        <w:t>Sağlıklı ve Güvenli Çalışma Ortamı</w:t>
      </w:r>
    </w:p>
    <w:p w14:paraId="2B2CF733" w14:textId="77777777"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Mobbing, sadece etik bir sorun değil, aynı zamanda iş sağlığı ve güvenliği sorunudur. 6331 sayılı İş Sağlığı ve Güvenliği Kanununun 4. maddesine göre işveren, çalışanların işle ilgili sağlık ve güvenliğini sağlamakla yükümlüdür. Bu yükümlülük ruhsal bütünlüğü de kapsar. Dolayısıyla mobbing, işverenin önlemekle sorumlu olduğu bir psikososyal risk niteliğindedir.</w:t>
      </w:r>
    </w:p>
    <w:p w14:paraId="055634B7" w14:textId="77777777" w:rsidR="006B502F" w:rsidRPr="006B502F" w:rsidRDefault="006B502F" w:rsidP="006B502F">
      <w:pPr>
        <w:spacing w:after="0"/>
        <w:ind w:left="-76"/>
        <w:jc w:val="both"/>
        <w:rPr>
          <w:rFonts w:ascii="Times New Roman" w:hAnsi="Times New Roman" w:cs="Times New Roman"/>
          <w:sz w:val="22"/>
          <w:szCs w:val="22"/>
        </w:rPr>
      </w:pPr>
    </w:p>
    <w:p w14:paraId="77142EE0" w14:textId="77777777"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Mobbing, iş hukuku ve insan hakları kapsamında yasaktır. 6701 sayılı Türkiye İnsan Hakları ve Eşitlik Kurumu Kanununun 4. maddesi işyerinde yıldırmayı ayrımcılık olarak tanımlar.</w:t>
      </w:r>
    </w:p>
    <w:p w14:paraId="0FEA2EBD" w14:textId="77777777" w:rsidR="006B502F" w:rsidRPr="006B502F" w:rsidRDefault="006B502F" w:rsidP="006B502F">
      <w:pPr>
        <w:spacing w:after="0"/>
        <w:ind w:left="-76"/>
        <w:jc w:val="both"/>
        <w:rPr>
          <w:rFonts w:ascii="Times New Roman" w:hAnsi="Times New Roman" w:cs="Times New Roman"/>
          <w:sz w:val="22"/>
          <w:szCs w:val="22"/>
        </w:rPr>
      </w:pPr>
    </w:p>
    <w:p w14:paraId="5C572EED" w14:textId="77777777" w:rsidR="006B502F" w:rsidRPr="006B502F" w:rsidRDefault="006B502F" w:rsidP="006B502F">
      <w:pPr>
        <w:spacing w:after="0"/>
        <w:ind w:left="-76"/>
        <w:jc w:val="both"/>
        <w:rPr>
          <w:rFonts w:ascii="Times New Roman" w:hAnsi="Times New Roman" w:cs="Times New Roman"/>
          <w:sz w:val="22"/>
          <w:szCs w:val="22"/>
        </w:rPr>
      </w:pPr>
      <w:r w:rsidRPr="006B502F">
        <w:rPr>
          <w:rFonts w:ascii="Times New Roman" w:hAnsi="Times New Roman" w:cs="Times New Roman"/>
          <w:sz w:val="22"/>
          <w:szCs w:val="22"/>
        </w:rPr>
        <w:t>Çalışanı dışlamak veya bıktırmak hukuka aykırıdır. İşveren, kişilik haklarını gözetmeli, eşit davranmalı ve sağlıklı bir çalışma ortamı sağlamalıdır.</w:t>
      </w:r>
    </w:p>
    <w:p w14:paraId="3C59E424" w14:textId="77777777" w:rsidR="006B502F" w:rsidRDefault="006B502F" w:rsidP="006B502F">
      <w:pPr>
        <w:spacing w:after="0"/>
        <w:ind w:left="-76"/>
        <w:jc w:val="both"/>
        <w:rPr>
          <w:rFonts w:ascii="Times New Roman" w:hAnsi="Times New Roman" w:cs="Times New Roman"/>
          <w:b/>
          <w:bCs/>
          <w:sz w:val="22"/>
          <w:szCs w:val="22"/>
        </w:rPr>
      </w:pPr>
    </w:p>
    <w:p w14:paraId="1B5C929D" w14:textId="77777777" w:rsidR="008034EC" w:rsidRDefault="008034EC" w:rsidP="006B502F">
      <w:pPr>
        <w:spacing w:after="0"/>
        <w:ind w:left="-76"/>
        <w:jc w:val="both"/>
        <w:rPr>
          <w:rFonts w:ascii="Times New Roman" w:hAnsi="Times New Roman" w:cs="Times New Roman"/>
          <w:b/>
          <w:bCs/>
          <w:sz w:val="22"/>
          <w:szCs w:val="22"/>
        </w:rPr>
      </w:pPr>
    </w:p>
    <w:p w14:paraId="1997A4AE" w14:textId="77777777" w:rsidR="008034EC" w:rsidRDefault="008034EC" w:rsidP="006B502F">
      <w:pPr>
        <w:spacing w:after="0"/>
        <w:ind w:left="-76"/>
        <w:jc w:val="both"/>
        <w:rPr>
          <w:rFonts w:ascii="Times New Roman" w:hAnsi="Times New Roman" w:cs="Times New Roman"/>
          <w:b/>
          <w:bCs/>
          <w:sz w:val="22"/>
          <w:szCs w:val="22"/>
        </w:rPr>
      </w:pPr>
    </w:p>
    <w:p w14:paraId="20D92E37" w14:textId="77777777" w:rsidR="008034EC" w:rsidRDefault="008034EC" w:rsidP="006B502F">
      <w:pPr>
        <w:spacing w:after="0"/>
        <w:ind w:left="-76"/>
        <w:jc w:val="both"/>
        <w:rPr>
          <w:rFonts w:ascii="Times New Roman" w:hAnsi="Times New Roman" w:cs="Times New Roman"/>
          <w:b/>
          <w:bCs/>
          <w:sz w:val="22"/>
          <w:szCs w:val="22"/>
        </w:rPr>
      </w:pPr>
    </w:p>
    <w:p w14:paraId="058FD06A" w14:textId="77777777" w:rsidR="008034EC" w:rsidRDefault="008034EC" w:rsidP="006B502F">
      <w:pPr>
        <w:spacing w:after="0"/>
        <w:ind w:left="-76"/>
        <w:jc w:val="both"/>
        <w:rPr>
          <w:rFonts w:ascii="Times New Roman" w:hAnsi="Times New Roman" w:cs="Times New Roman"/>
          <w:b/>
          <w:bCs/>
          <w:sz w:val="22"/>
          <w:szCs w:val="22"/>
        </w:rPr>
      </w:pPr>
    </w:p>
    <w:p w14:paraId="6E18BB9D" w14:textId="77777777" w:rsidR="008034EC" w:rsidRDefault="008034EC" w:rsidP="006B502F">
      <w:pPr>
        <w:spacing w:after="0"/>
        <w:ind w:left="-76"/>
        <w:jc w:val="both"/>
        <w:rPr>
          <w:rFonts w:ascii="Times New Roman" w:hAnsi="Times New Roman" w:cs="Times New Roman"/>
          <w:b/>
          <w:bCs/>
          <w:sz w:val="22"/>
          <w:szCs w:val="22"/>
        </w:rPr>
      </w:pPr>
    </w:p>
    <w:p w14:paraId="17278A3A" w14:textId="77777777" w:rsidR="008034EC" w:rsidRDefault="008034EC" w:rsidP="006B502F">
      <w:pPr>
        <w:spacing w:after="0"/>
        <w:ind w:left="-76"/>
        <w:jc w:val="both"/>
        <w:rPr>
          <w:rFonts w:ascii="Times New Roman" w:hAnsi="Times New Roman" w:cs="Times New Roman"/>
          <w:b/>
          <w:bCs/>
          <w:sz w:val="22"/>
          <w:szCs w:val="22"/>
        </w:rPr>
      </w:pPr>
    </w:p>
    <w:p w14:paraId="75530784" w14:textId="77777777" w:rsidR="008034EC" w:rsidRDefault="008034EC" w:rsidP="006B502F">
      <w:pPr>
        <w:spacing w:after="0"/>
        <w:ind w:left="-76"/>
        <w:jc w:val="both"/>
        <w:rPr>
          <w:rFonts w:ascii="Times New Roman" w:hAnsi="Times New Roman" w:cs="Times New Roman"/>
          <w:b/>
          <w:bCs/>
          <w:sz w:val="22"/>
          <w:szCs w:val="22"/>
        </w:rPr>
      </w:pPr>
    </w:p>
    <w:p w14:paraId="78294A23" w14:textId="77777777" w:rsidR="008034EC" w:rsidRPr="006B502F" w:rsidRDefault="008034EC" w:rsidP="006B502F">
      <w:pPr>
        <w:spacing w:after="0"/>
        <w:ind w:left="-76"/>
        <w:jc w:val="both"/>
        <w:rPr>
          <w:rFonts w:ascii="Times New Roman" w:hAnsi="Times New Roman" w:cs="Times New Roman"/>
          <w:b/>
          <w:bCs/>
          <w:sz w:val="22"/>
          <w:szCs w:val="22"/>
        </w:rPr>
      </w:pPr>
    </w:p>
    <w:p w14:paraId="6888BCA0" w14:textId="77777777" w:rsidR="000F1714" w:rsidRPr="000F1714" w:rsidRDefault="000F1714" w:rsidP="000F1714">
      <w:pPr>
        <w:pStyle w:val="ListeParagraf"/>
        <w:spacing w:after="0"/>
        <w:ind w:left="284"/>
        <w:jc w:val="both"/>
        <w:rPr>
          <w:rFonts w:ascii="Times New Roman" w:hAnsi="Times New Roman" w:cs="Times New Roman"/>
          <w:b/>
          <w:bCs/>
          <w:sz w:val="22"/>
          <w:szCs w:val="22"/>
        </w:rPr>
      </w:pPr>
    </w:p>
    <w:p w14:paraId="4BE42693" w14:textId="77777777"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lastRenderedPageBreak/>
        <w:t xml:space="preserve">TİCARİ SIRLARIN KORUNMASI VE ÇALIŞANLARIN SORUMLULUĞU: İŞVEREN PERSPEKTİFİNDEN BİR DEĞERLENDİRME </w:t>
      </w:r>
    </w:p>
    <w:p w14:paraId="4CB32A79" w14:textId="77777777" w:rsidR="00FB1F06" w:rsidRDefault="00FB1F06" w:rsidP="000F1714">
      <w:pPr>
        <w:spacing w:after="0"/>
        <w:jc w:val="both"/>
        <w:rPr>
          <w:rFonts w:ascii="Times New Roman" w:hAnsi="Times New Roman" w:cs="Times New Roman"/>
          <w:sz w:val="22"/>
          <w:szCs w:val="22"/>
        </w:rPr>
      </w:pPr>
    </w:p>
    <w:p w14:paraId="569EA8F7" w14:textId="77777777" w:rsidR="005F01B9" w:rsidRDefault="005F01B9" w:rsidP="000F1714">
      <w:pPr>
        <w:spacing w:after="0"/>
        <w:jc w:val="both"/>
        <w:rPr>
          <w:rFonts w:ascii="Times New Roman" w:hAnsi="Times New Roman" w:cs="Times New Roman"/>
          <w:sz w:val="22"/>
          <w:szCs w:val="22"/>
        </w:rPr>
      </w:pPr>
    </w:p>
    <w:p w14:paraId="79C01D72"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1. Giriş</w:t>
      </w:r>
    </w:p>
    <w:p w14:paraId="5A36A715" w14:textId="77777777"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Günümüz rekabet ortamında bilgi, işletmelerin en değerli varlığı hâline gelmiştir. Üretim süreçlerinden müşteri portföylerine kadar uzanan her türlü gizli veri, şirketin ekonomik istikrarı ve rekabet gücü açısından stratejik önem taşır. Bu nedenle işverenler açısından “ticari sırların korunması”, sadece bir güvenlik önlemi değil, aynı zamanda sürdürülebilirliğin temel koşuludur. İşyerinde görev yapan çalışanların bu sırların korunmasındaki sorumlulukları ise iş ilişkisinin en kritik unsurlarından birini oluşturur.</w:t>
      </w:r>
    </w:p>
    <w:p w14:paraId="409D0170" w14:textId="77777777" w:rsidR="005F01B9" w:rsidRPr="005F01B9" w:rsidRDefault="005F01B9" w:rsidP="005F01B9">
      <w:pPr>
        <w:spacing w:after="0"/>
        <w:jc w:val="both"/>
        <w:rPr>
          <w:rFonts w:ascii="Times New Roman" w:hAnsi="Times New Roman" w:cs="Times New Roman"/>
          <w:sz w:val="22"/>
          <w:szCs w:val="22"/>
        </w:rPr>
      </w:pPr>
    </w:p>
    <w:p w14:paraId="7DB4B674"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2. Ticari Sır Kavramı ve İşverenin Meşru Menfaati</w:t>
      </w:r>
    </w:p>
    <w:p w14:paraId="18C87A94" w14:textId="77777777"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Ticari sır, genel anlamda, bir işletmenin faaliyet alanına ilişkin, kamuya açık olmayan, ekonomik değeri bulunan ve rakipleri karşısında avantaj sağlayan her türlü bilgidir. Üretim süreçleri, teknik formüller, pazarlama stratejileri, fiyat politikaları, müşteri ve tedarikçi listeleri, mali veriler, proje ve Ar-</w:t>
      </w:r>
      <w:proofErr w:type="spellStart"/>
      <w:r w:rsidRPr="005F01B9">
        <w:rPr>
          <w:rFonts w:ascii="Times New Roman" w:hAnsi="Times New Roman" w:cs="Times New Roman"/>
          <w:sz w:val="22"/>
          <w:szCs w:val="22"/>
        </w:rPr>
        <w:t>Ge</w:t>
      </w:r>
      <w:proofErr w:type="spellEnd"/>
      <w:r w:rsidRPr="005F01B9">
        <w:rPr>
          <w:rFonts w:ascii="Times New Roman" w:hAnsi="Times New Roman" w:cs="Times New Roman"/>
          <w:sz w:val="22"/>
          <w:szCs w:val="22"/>
        </w:rPr>
        <w:t xml:space="preserve"> bilgileri gibi unsurlar ticari sır kapsamında değerlendirilir.  Bu bilgiler, herkesin kolaylıkla erişemeyeceği ve işverenin açıklanmamasında çıkarı bulunan verilerdir. İşveren, bu tür gizli bilgileri çalışanlarıyla paylaşırken onların korunacağı beklentisi içindedir. Bir bilginin sır sayılması için mutlaka yazılı bir sözleşmeyle belirtilmiş olması gerekmez.</w:t>
      </w:r>
      <w:r w:rsidRPr="005F01B9">
        <w:rPr>
          <w:rFonts w:ascii="Times New Roman" w:hAnsi="Times New Roman" w:cs="Times New Roman"/>
          <w:sz w:val="22"/>
          <w:szCs w:val="22"/>
        </w:rPr>
        <w:br/>
        <w:t>İşveren, bu bilgileri çalışanlarıyla paylaşırken doğal olarak bunların gizli tutulacağı beklentisi içindedir. Bu noktada, çalışanın sadakat borcu devreye girer ve işverenin menfaatine zarar verebilecek her türlü davranıştan kaçınması beklenir.</w:t>
      </w:r>
    </w:p>
    <w:p w14:paraId="3FA5E7B2" w14:textId="77777777" w:rsidR="005F01B9" w:rsidRPr="005F01B9" w:rsidRDefault="005F01B9" w:rsidP="005F01B9">
      <w:pPr>
        <w:spacing w:after="0"/>
        <w:jc w:val="both"/>
        <w:rPr>
          <w:rFonts w:ascii="Times New Roman" w:hAnsi="Times New Roman" w:cs="Times New Roman"/>
          <w:sz w:val="22"/>
          <w:szCs w:val="22"/>
        </w:rPr>
      </w:pPr>
    </w:p>
    <w:p w14:paraId="5E132BBF"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3. Çalışanın Gizlilik Yükümlülüğünün Hukuki Dayanakları</w:t>
      </w:r>
    </w:p>
    <w:p w14:paraId="20823021" w14:textId="77777777"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Türk hukuk sisteminde çalışanın sır saklama yükümlülüğü, hem Türk Borçlar Kanunu (“TBK”) hem de Türk İş Kanunu (“</w:t>
      </w:r>
      <w:proofErr w:type="spellStart"/>
      <w:r w:rsidRPr="005F01B9">
        <w:rPr>
          <w:rFonts w:ascii="Times New Roman" w:hAnsi="Times New Roman" w:cs="Times New Roman"/>
          <w:sz w:val="22"/>
          <w:szCs w:val="22"/>
        </w:rPr>
        <w:t>İşK</w:t>
      </w:r>
      <w:proofErr w:type="spellEnd"/>
      <w:r w:rsidRPr="005F01B9">
        <w:rPr>
          <w:rFonts w:ascii="Times New Roman" w:hAnsi="Times New Roman" w:cs="Times New Roman"/>
          <w:sz w:val="22"/>
          <w:szCs w:val="22"/>
        </w:rPr>
        <w:t>”) çerçevesinde açıkça düzenlenmiştir.</w:t>
      </w:r>
    </w:p>
    <w:p w14:paraId="26101DCF" w14:textId="77777777" w:rsidR="005F01B9" w:rsidRPr="005F01B9" w:rsidRDefault="005F01B9" w:rsidP="005F01B9">
      <w:pPr>
        <w:spacing w:after="0"/>
        <w:jc w:val="both"/>
        <w:rPr>
          <w:rFonts w:ascii="Times New Roman" w:hAnsi="Times New Roman" w:cs="Times New Roman"/>
          <w:sz w:val="22"/>
          <w:szCs w:val="22"/>
        </w:rPr>
      </w:pPr>
    </w:p>
    <w:p w14:paraId="3D7D317D"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3.1. Türk Borçlar Kanunu m.396 – Sadakat Borcu</w:t>
      </w:r>
    </w:p>
    <w:p w14:paraId="06E0578A" w14:textId="77777777"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TBK’nın 396. maddesi uyarınca işçi, işverenin haklı menfaatlerini korumakla ve iş sırasında öğrendiği üretim ve iş sırlarını gizli tutmakla yükümlüdür. Bu yükümlülük iş sözleşmesinin kurulmasıyla birlikte doğar ve iş ilişkisi sona erdikten sonra dahi, işverenin menfaatlerinin korunması için makul bir süre devam eder. Dolayısıyla, çalışan, görevinden ayrılmış olsa dahi elde ettiği bilgileri kendi yararına kullanamaz veya üçüncü kişilere açıklayamaz</w:t>
      </w:r>
    </w:p>
    <w:p w14:paraId="3736C149" w14:textId="77777777" w:rsidR="005F01B9" w:rsidRPr="005F01B9" w:rsidRDefault="005F01B9" w:rsidP="005F01B9">
      <w:pPr>
        <w:spacing w:after="0"/>
        <w:jc w:val="both"/>
        <w:rPr>
          <w:rFonts w:ascii="Times New Roman" w:hAnsi="Times New Roman" w:cs="Times New Roman"/>
          <w:sz w:val="22"/>
          <w:szCs w:val="22"/>
        </w:rPr>
      </w:pPr>
    </w:p>
    <w:p w14:paraId="678AF56A"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3.2. İş Kanunu m.25/II-e – Haklı Fesih Nedeni</w:t>
      </w:r>
    </w:p>
    <w:p w14:paraId="58F5CAC2" w14:textId="77777777" w:rsidR="005F01B9" w:rsidRP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 xml:space="preserve">4857 sayılı İş Kanunu’nun 25/II-e maddesi, işverenin güvenini kötüye kullanmak veya işverenin meslek sırlarını açıklamak gibi davranışları, doğruluk ve bağlılığa aykırı fiiller kapsamında değerlendirmektedir. Bu durumda işverenin, iş sözleşmesini derhal ve tazminatsız olarak feshetme hakkı doğar. Başka bir ifadeyle, işverenin ticari sırlarını ifşa eden bir </w:t>
      </w:r>
      <w:proofErr w:type="gramStart"/>
      <w:r w:rsidRPr="005F01B9">
        <w:rPr>
          <w:rFonts w:ascii="Times New Roman" w:hAnsi="Times New Roman" w:cs="Times New Roman"/>
          <w:sz w:val="22"/>
          <w:szCs w:val="22"/>
        </w:rPr>
        <w:t>çalışan,</w:t>
      </w:r>
      <w:proofErr w:type="gramEnd"/>
      <w:r w:rsidRPr="005F01B9">
        <w:rPr>
          <w:rFonts w:ascii="Times New Roman" w:hAnsi="Times New Roman" w:cs="Times New Roman"/>
          <w:sz w:val="22"/>
          <w:szCs w:val="22"/>
        </w:rPr>
        <w:t xml:space="preserve"> hem kıdem hem ihbar tazminatı hakkını kaybeder. Bu tür bir ihlal, aynı zamanda çalışanın ilerideki kariyerinde olumsuz referans etkisi yaratır.</w:t>
      </w:r>
    </w:p>
    <w:p w14:paraId="687059DA" w14:textId="77777777"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 xml:space="preserve">Yargıtay’ın iş hukuku daireleri ve Hukuk Genel Kurulu, işçinin sır saklama yükümlülüğüne aykırı davranmasını işveren açısından güven ilişkisinin temelinden sarsılması olarak değerlendirmektedir. Yargıtay Hukuk Genel Kurulu 27.05.2021 tarihli bir kararında (E.2017/2199, K.2021/637), işçinin sadakat borcuna aykırı davranışları için “işverenin haklı nedenle fesih hakkını kullanabilmesi için bu davranışın mutlaka suç oluşturması gerekmez” demiştir. Yani bir işçi, işverenin </w:t>
      </w:r>
      <w:r w:rsidRPr="005F01B9">
        <w:rPr>
          <w:rFonts w:ascii="Times New Roman" w:hAnsi="Times New Roman" w:cs="Times New Roman"/>
          <w:sz w:val="22"/>
          <w:szCs w:val="22"/>
        </w:rPr>
        <w:lastRenderedPageBreak/>
        <w:t>sırlarını paylaşarak güveni sarsmışsa, bu eylem suç teşkil etmese bile işveren iş sözleşmesini haklı nedenle sona erdirebilir. Yine Yargıtay yaklaşımına göre, işçinin doğruluk ve bağlılığa uymayan bu tür davranışlarında işverenin maddi bir zarara uğramış olması şart değildir; zarar gerçekleşmese dahi veya zararın miktarı düşük olsa bile, sır saklama yükümlülüğünün ihlali başlı başına haklı fesih sebebi oluşturur</w:t>
      </w:r>
    </w:p>
    <w:p w14:paraId="33AC1CD8" w14:textId="77777777" w:rsidR="005F01B9" w:rsidRPr="005F01B9" w:rsidRDefault="005F01B9" w:rsidP="005F01B9">
      <w:pPr>
        <w:spacing w:after="0"/>
        <w:jc w:val="both"/>
        <w:rPr>
          <w:rFonts w:ascii="Times New Roman" w:hAnsi="Times New Roman" w:cs="Times New Roman"/>
          <w:sz w:val="22"/>
          <w:szCs w:val="22"/>
        </w:rPr>
      </w:pPr>
    </w:p>
    <w:p w14:paraId="3933F72F"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4. İşveren Açısından Gizlilik İhlalinin Sonuçları</w:t>
      </w:r>
    </w:p>
    <w:p w14:paraId="199E8AA3" w14:textId="77777777" w:rsidR="005F01B9" w:rsidRP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İşverenin sırlarının ifşa edilmesi, doğrudan ekonomik zararlara yol açabilir. Üretim formülünün rakip firmaya geçmesi, müşteri listesinin paylaşılması veya yeni ürün projelerinin dışarı sızdırılması, işletmenin pazar payını ciddi biçimde zedeleyebilir.</w:t>
      </w:r>
      <w:r w:rsidRPr="005F01B9">
        <w:rPr>
          <w:rFonts w:ascii="Times New Roman" w:hAnsi="Times New Roman" w:cs="Times New Roman"/>
          <w:sz w:val="22"/>
          <w:szCs w:val="22"/>
        </w:rPr>
        <w:br/>
        <w:t>Bu tür durumlarda işverenin, yalnızca iş sözleşmesini feshetme hakkı değil, aynı zamanda maddi tazminat talep etme hakkı da vardır. Türk Borçlar Kanunu’nun genel hükümleri uyarınca, işçinin kusurlu eylemi ile ortaya çıkan zarar arasında illiyet bağı kurulabiliyorsa, işveren uğradığı zararın tazmini için yargı yoluna başvurabilir. Bunun yanı sıra Şirket itibarının zedelenmesi söz konusu ise bundan kaynaklı manevi zararların tazmininin işçiden manevi tazminat davasıyla istenmesi ve bilgilerin rakip firmalara verilmesi durumunda oluşabilecek haksız rekabet nedeniyle işçiden haksız rekabet tazminatı istenmesi de mümkün olmaktadır.</w:t>
      </w:r>
    </w:p>
    <w:p w14:paraId="72394A68" w14:textId="77777777"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 xml:space="preserve">Ayrıca birçok iş sözleşmesinde “cezai şart” hükümleri yer alır. Çalışanın gizlilik yükümlülüğünü ihlal etmesi durumunda önceden belirlenmiş bir tutarın ödeneceği kararlaştırılmışsa, bu hüküm devreye girer. Yargıtay içtihatları </w:t>
      </w:r>
      <w:proofErr w:type="gramStart"/>
      <w:r w:rsidRPr="005F01B9">
        <w:rPr>
          <w:rFonts w:ascii="Times New Roman" w:hAnsi="Times New Roman" w:cs="Times New Roman"/>
          <w:sz w:val="22"/>
          <w:szCs w:val="22"/>
        </w:rPr>
        <w:t>da,</w:t>
      </w:r>
      <w:proofErr w:type="gramEnd"/>
      <w:r w:rsidRPr="005F01B9">
        <w:rPr>
          <w:rFonts w:ascii="Times New Roman" w:hAnsi="Times New Roman" w:cs="Times New Roman"/>
          <w:sz w:val="22"/>
          <w:szCs w:val="22"/>
        </w:rPr>
        <w:t xml:space="preserve"> somut olayın özelliklerine göre bu cezai şartların geçerli olduğunu kabul etmektedir.</w:t>
      </w:r>
    </w:p>
    <w:p w14:paraId="204B5342" w14:textId="77777777" w:rsidR="005F01B9" w:rsidRPr="005F01B9" w:rsidRDefault="005F01B9" w:rsidP="005F01B9">
      <w:pPr>
        <w:spacing w:after="0"/>
        <w:jc w:val="both"/>
        <w:rPr>
          <w:rFonts w:ascii="Times New Roman" w:hAnsi="Times New Roman" w:cs="Times New Roman"/>
          <w:sz w:val="22"/>
          <w:szCs w:val="22"/>
        </w:rPr>
      </w:pPr>
    </w:p>
    <w:p w14:paraId="1AE864A8"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5. Ceza Hukuku Boyutu</w:t>
      </w:r>
    </w:p>
    <w:p w14:paraId="606A31A8" w14:textId="77777777"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Bazı ihlaller yalnızca iş hukukuna değil, ceza hukukuna da konu olabilir. Türk Ceza Kanunu’nun 239. maddesi, “ticari sır, bankacılık sırrı veya müşteri sırrı niteliğindeki bilgi ve belgelerin açıklanması” fiilini suç olarak tanımlar. Bu fiili işleyen kişi, bir yıldan üç yıla kadar hapis ve adlî para cezası ile cezalandırılabilir.</w:t>
      </w:r>
      <w:r w:rsidRPr="005F01B9">
        <w:rPr>
          <w:rFonts w:ascii="Times New Roman" w:hAnsi="Times New Roman" w:cs="Times New Roman"/>
          <w:sz w:val="22"/>
          <w:szCs w:val="22"/>
        </w:rPr>
        <w:br/>
        <w:t>Dolayısıyla işverenin ticari sırlarını yetkisiz biçimde paylaşan çalışan, sadece iş sözleşmesinin feshiyle değil, ceza soruşturmasıyla da karşı karşıya kalabilir.</w:t>
      </w:r>
    </w:p>
    <w:p w14:paraId="59419DE4" w14:textId="77777777" w:rsidR="005F01B9" w:rsidRPr="005F01B9" w:rsidRDefault="005F01B9" w:rsidP="005F01B9">
      <w:pPr>
        <w:spacing w:after="0"/>
        <w:jc w:val="both"/>
        <w:rPr>
          <w:rFonts w:ascii="Times New Roman" w:hAnsi="Times New Roman" w:cs="Times New Roman"/>
          <w:sz w:val="22"/>
          <w:szCs w:val="22"/>
        </w:rPr>
      </w:pPr>
    </w:p>
    <w:p w14:paraId="64FFF5D0" w14:textId="77777777" w:rsidR="005F01B9" w:rsidRPr="005F01B9" w:rsidRDefault="005F01B9" w:rsidP="005F01B9">
      <w:pPr>
        <w:spacing w:after="0"/>
        <w:jc w:val="both"/>
        <w:rPr>
          <w:rFonts w:ascii="Times New Roman" w:hAnsi="Times New Roman" w:cs="Times New Roman"/>
          <w:b/>
          <w:bCs/>
          <w:sz w:val="22"/>
          <w:szCs w:val="22"/>
        </w:rPr>
      </w:pPr>
      <w:r w:rsidRPr="005F01B9">
        <w:rPr>
          <w:rFonts w:ascii="Times New Roman" w:hAnsi="Times New Roman" w:cs="Times New Roman"/>
          <w:b/>
          <w:bCs/>
          <w:sz w:val="22"/>
          <w:szCs w:val="22"/>
        </w:rPr>
        <w:t>6. Sonuç</w:t>
      </w:r>
    </w:p>
    <w:p w14:paraId="61684F89" w14:textId="4A860919" w:rsidR="005F01B9" w:rsidRDefault="005F01B9" w:rsidP="005F01B9">
      <w:pPr>
        <w:spacing w:after="0"/>
        <w:jc w:val="both"/>
        <w:rPr>
          <w:rFonts w:ascii="Times New Roman" w:hAnsi="Times New Roman" w:cs="Times New Roman"/>
          <w:sz w:val="22"/>
          <w:szCs w:val="22"/>
        </w:rPr>
      </w:pPr>
      <w:r w:rsidRPr="005F01B9">
        <w:rPr>
          <w:rFonts w:ascii="Times New Roman" w:hAnsi="Times New Roman" w:cs="Times New Roman"/>
          <w:sz w:val="22"/>
          <w:szCs w:val="22"/>
        </w:rPr>
        <w:t xml:space="preserve">İşverenin ticari sırları, işletmenin sürdürülebilirliği ve rekabet gücü açısından hayati öneme sahiptir. Bu bilgilerin korunması yalnızca teknik önlemlerle değil, çalışanların hukuki sorumluluk bilinciyle de mümkündür. Her çalışan, işverenin menfaatine zarar verebilecek davranışlardan kaçınmakla yükümlüdür. Sadakat borcunun ve gizlilik yükümlülüğünün </w:t>
      </w:r>
      <w:proofErr w:type="gramStart"/>
      <w:r w:rsidRPr="005F01B9">
        <w:rPr>
          <w:rFonts w:ascii="Times New Roman" w:hAnsi="Times New Roman" w:cs="Times New Roman"/>
          <w:sz w:val="22"/>
          <w:szCs w:val="22"/>
        </w:rPr>
        <w:t>ihlali,</w:t>
      </w:r>
      <w:proofErr w:type="gramEnd"/>
      <w:r w:rsidRPr="005F01B9">
        <w:rPr>
          <w:rFonts w:ascii="Times New Roman" w:hAnsi="Times New Roman" w:cs="Times New Roman"/>
          <w:sz w:val="22"/>
          <w:szCs w:val="22"/>
        </w:rPr>
        <w:t xml:space="preserve"> hem iş akdinin tazminatsız feshi hem de maddi, manevi ve cezai sorumluluk sonuçlarını doğurabilir.</w:t>
      </w:r>
      <w:r w:rsidRPr="005F01B9">
        <w:rPr>
          <w:rFonts w:ascii="Times New Roman" w:hAnsi="Times New Roman" w:cs="Times New Roman"/>
          <w:sz w:val="22"/>
          <w:szCs w:val="22"/>
        </w:rPr>
        <w:br/>
        <w:t>İşverenler, bu bilinçle çalışanlarını bilgilendirmeli, gizlilik sözleşmeleriyle koruma mekanizmalarını güçlendirmeli ve gerektiğinde hukuki haklarını etkin biçimde kullanmalıdır.</w:t>
      </w:r>
    </w:p>
    <w:p w14:paraId="2A53EE36" w14:textId="77777777" w:rsidR="00A118AC" w:rsidRDefault="00A118AC" w:rsidP="005F01B9">
      <w:pPr>
        <w:spacing w:after="0"/>
        <w:jc w:val="both"/>
        <w:rPr>
          <w:rFonts w:ascii="Times New Roman" w:hAnsi="Times New Roman" w:cs="Times New Roman"/>
          <w:sz w:val="22"/>
          <w:szCs w:val="22"/>
        </w:rPr>
      </w:pPr>
    </w:p>
    <w:p w14:paraId="4D89D9D0" w14:textId="77777777" w:rsidR="00A118AC" w:rsidRDefault="00A118AC" w:rsidP="005F01B9">
      <w:pPr>
        <w:spacing w:after="0"/>
        <w:jc w:val="both"/>
        <w:rPr>
          <w:rFonts w:ascii="Times New Roman" w:hAnsi="Times New Roman" w:cs="Times New Roman"/>
          <w:sz w:val="22"/>
          <w:szCs w:val="22"/>
        </w:rPr>
      </w:pPr>
    </w:p>
    <w:p w14:paraId="0E9F063C" w14:textId="77777777" w:rsidR="00A118AC" w:rsidRDefault="00A118AC" w:rsidP="005F01B9">
      <w:pPr>
        <w:spacing w:after="0"/>
        <w:jc w:val="both"/>
        <w:rPr>
          <w:rFonts w:ascii="Times New Roman" w:hAnsi="Times New Roman" w:cs="Times New Roman"/>
          <w:sz w:val="22"/>
          <w:szCs w:val="22"/>
        </w:rPr>
      </w:pPr>
    </w:p>
    <w:p w14:paraId="05E1999B" w14:textId="77777777" w:rsidR="00A118AC" w:rsidRDefault="00A118AC" w:rsidP="005F01B9">
      <w:pPr>
        <w:spacing w:after="0"/>
        <w:jc w:val="both"/>
        <w:rPr>
          <w:rFonts w:ascii="Times New Roman" w:hAnsi="Times New Roman" w:cs="Times New Roman"/>
          <w:sz w:val="22"/>
          <w:szCs w:val="22"/>
        </w:rPr>
      </w:pPr>
    </w:p>
    <w:p w14:paraId="20BE1C36" w14:textId="77777777" w:rsidR="00A118AC" w:rsidRDefault="00A118AC" w:rsidP="005F01B9">
      <w:pPr>
        <w:spacing w:after="0"/>
        <w:jc w:val="both"/>
        <w:rPr>
          <w:rFonts w:ascii="Times New Roman" w:hAnsi="Times New Roman" w:cs="Times New Roman"/>
          <w:sz w:val="22"/>
          <w:szCs w:val="22"/>
        </w:rPr>
      </w:pPr>
    </w:p>
    <w:p w14:paraId="7B70E83C" w14:textId="77777777" w:rsidR="00A118AC" w:rsidRDefault="00A118AC" w:rsidP="005F01B9">
      <w:pPr>
        <w:spacing w:after="0"/>
        <w:jc w:val="both"/>
        <w:rPr>
          <w:rFonts w:ascii="Times New Roman" w:hAnsi="Times New Roman" w:cs="Times New Roman"/>
          <w:sz w:val="22"/>
          <w:szCs w:val="22"/>
        </w:rPr>
      </w:pPr>
    </w:p>
    <w:p w14:paraId="10F1EAB0" w14:textId="77777777" w:rsidR="00A118AC" w:rsidRDefault="00A118AC" w:rsidP="005F01B9">
      <w:pPr>
        <w:spacing w:after="0"/>
        <w:jc w:val="both"/>
        <w:rPr>
          <w:rFonts w:ascii="Times New Roman" w:hAnsi="Times New Roman" w:cs="Times New Roman"/>
          <w:sz w:val="22"/>
          <w:szCs w:val="22"/>
        </w:rPr>
      </w:pPr>
    </w:p>
    <w:p w14:paraId="41DF002C" w14:textId="77777777" w:rsidR="00A118AC" w:rsidRDefault="00A118AC" w:rsidP="005F01B9">
      <w:pPr>
        <w:spacing w:after="0"/>
        <w:jc w:val="both"/>
        <w:rPr>
          <w:rFonts w:ascii="Times New Roman" w:hAnsi="Times New Roman" w:cs="Times New Roman"/>
          <w:sz w:val="22"/>
          <w:szCs w:val="22"/>
        </w:rPr>
      </w:pPr>
    </w:p>
    <w:p w14:paraId="1B399A22" w14:textId="77777777" w:rsidR="008D2113" w:rsidRDefault="008D2113" w:rsidP="005F01B9">
      <w:pPr>
        <w:spacing w:after="0"/>
        <w:jc w:val="both"/>
        <w:rPr>
          <w:rFonts w:ascii="Times New Roman" w:hAnsi="Times New Roman" w:cs="Times New Roman"/>
          <w:sz w:val="22"/>
          <w:szCs w:val="22"/>
        </w:rPr>
      </w:pPr>
    </w:p>
    <w:p w14:paraId="64B39D07" w14:textId="08B2EE1A" w:rsidR="008D2113" w:rsidRPr="008D2113" w:rsidRDefault="008D2113" w:rsidP="008D2113">
      <w:pPr>
        <w:spacing w:after="0"/>
        <w:jc w:val="right"/>
        <w:rPr>
          <w:rFonts w:ascii="Times New Roman" w:hAnsi="Times New Roman" w:cs="Times New Roman"/>
          <w:b/>
          <w:bCs/>
          <w:sz w:val="22"/>
          <w:szCs w:val="22"/>
        </w:rPr>
      </w:pPr>
      <w:r>
        <w:rPr>
          <w:rFonts w:ascii="Times New Roman" w:hAnsi="Times New Roman" w:cs="Times New Roman"/>
          <w:b/>
          <w:bCs/>
          <w:sz w:val="22"/>
          <w:szCs w:val="22"/>
        </w:rPr>
        <w:lastRenderedPageBreak/>
        <w:t xml:space="preserve">13 </w:t>
      </w:r>
      <w:r w:rsidRPr="008D2113">
        <w:rPr>
          <w:rFonts w:ascii="Times New Roman" w:hAnsi="Times New Roman" w:cs="Times New Roman"/>
          <w:b/>
          <w:bCs/>
          <w:sz w:val="22"/>
          <w:szCs w:val="22"/>
        </w:rPr>
        <w:t>ŞUBAT 2026</w:t>
      </w:r>
    </w:p>
    <w:p w14:paraId="0B4CA5FC" w14:textId="77777777" w:rsidR="00FB1F06" w:rsidRPr="00FB1F06" w:rsidRDefault="00FB1F06" w:rsidP="000F1714">
      <w:pPr>
        <w:spacing w:after="0"/>
        <w:jc w:val="both"/>
        <w:rPr>
          <w:rFonts w:ascii="Times New Roman" w:hAnsi="Times New Roman" w:cs="Times New Roman"/>
          <w:sz w:val="22"/>
          <w:szCs w:val="22"/>
        </w:rPr>
      </w:pPr>
    </w:p>
    <w:p w14:paraId="0AA8C220" w14:textId="77777777"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İŞVEREN KILAVUZU SERİSİ #1 İŞ SÖZLEŞMESİ GERÇEKTEN NE KADAR GÜVEN SAĞLAR?</w:t>
      </w:r>
    </w:p>
    <w:p w14:paraId="093109AF" w14:textId="77777777" w:rsidR="00FB1F06" w:rsidRDefault="00FB1F06" w:rsidP="000F1714">
      <w:pPr>
        <w:spacing w:after="0"/>
        <w:jc w:val="both"/>
        <w:rPr>
          <w:rFonts w:ascii="Times New Roman" w:hAnsi="Times New Roman" w:cs="Times New Roman"/>
          <w:sz w:val="22"/>
          <w:szCs w:val="22"/>
        </w:rPr>
      </w:pPr>
    </w:p>
    <w:p w14:paraId="7C69344A" w14:textId="77777777" w:rsidR="00FB1F06" w:rsidRPr="00FB1F06" w:rsidRDefault="00FB1F06" w:rsidP="000F1714">
      <w:pPr>
        <w:spacing w:after="0"/>
        <w:jc w:val="both"/>
        <w:rPr>
          <w:rFonts w:ascii="Times New Roman" w:hAnsi="Times New Roman" w:cs="Times New Roman"/>
          <w:sz w:val="22"/>
          <w:szCs w:val="22"/>
        </w:rPr>
      </w:pPr>
      <w:r w:rsidRPr="00FB1F06">
        <w:rPr>
          <w:rFonts w:ascii="Times New Roman" w:hAnsi="Times New Roman" w:cs="Times New Roman"/>
          <w:sz w:val="22"/>
          <w:szCs w:val="22"/>
        </w:rPr>
        <w:t>4857 sayılı İş Kanunu (“</w:t>
      </w:r>
      <w:r w:rsidRPr="00FB1F06">
        <w:rPr>
          <w:rFonts w:ascii="Times New Roman" w:hAnsi="Times New Roman" w:cs="Times New Roman"/>
          <w:b/>
          <w:bCs/>
          <w:sz w:val="22"/>
          <w:szCs w:val="22"/>
        </w:rPr>
        <w:t>İş Kanunu</w:t>
      </w:r>
      <w:r w:rsidRPr="00FB1F06">
        <w:rPr>
          <w:rFonts w:ascii="Times New Roman" w:hAnsi="Times New Roman" w:cs="Times New Roman"/>
          <w:sz w:val="22"/>
          <w:szCs w:val="22"/>
        </w:rPr>
        <w:t>”) m. 8’e göre, işveren, çalışanla iş ilişkisine başlarken yazılı iş sözleşmesi yapmakla yükümlüdür. Anılan madde uyarınca yazılı sözleşme yapılmaması halinde, işverenin işçiye çalışma koşullarını yazılı olarak bildirme yükümlülüğü devam etmekte olup, bu yükümlülüğün ihlali idari yaptırımlara da konu olabilmektedir.  Ancak birçok işveren, yazılı bir iş sözleşmesi yapmanın tek başına her riski ortadan kaldırdığını düşünür. Oysa pratikte standart sözleşmelerde sıkça eksiklikler ve belirsizlikler bulunur. Örneğin, iş tanımının net olmaması veya ücret, başlangıç tarihi gibi temel bilgilerin sözleşmede atlanması, ileride taraflar arasında ciddi uyuşmazlıklara yol açabilir. Yargıtay’ın yerleşik içtihatlarında da iş sözleşmesindeki belirsizliklerin “işçi lehine yorum” ilkesi gereği işçi yararına değerlendirilmesi gerektiği kabul edilmektedir. Ayrıca işçi yapılan iş sözleşmesinde deneme süresi koymamak yaygın hatalardandır; deneme süresi belirtilmeyen sözleşmelerde işe son verme süreci daha maliyetli olabilir. Nitekim İş Kanunu m. 15 uyarınca deneme süresi içinde fesih halinde ihbar ve kıdem tazminatı yükümlülüğü doğmazken, deneme süresinin kararlaştırılmamış olması işveren bakımından bu avantajı ortadan kaldırmaktadır</w:t>
      </w:r>
      <w:r w:rsidRPr="00FB1F06">
        <w:rPr>
          <w:rFonts w:ascii="Times New Roman" w:hAnsi="Times New Roman" w:cs="Times New Roman"/>
          <w:b/>
          <w:bCs/>
          <w:sz w:val="22"/>
          <w:szCs w:val="22"/>
        </w:rPr>
        <w:t>.</w:t>
      </w:r>
      <w:r w:rsidRPr="00FB1F06">
        <w:rPr>
          <w:rFonts w:ascii="Times New Roman" w:hAnsi="Times New Roman" w:cs="Times New Roman"/>
          <w:sz w:val="22"/>
          <w:szCs w:val="22"/>
        </w:rPr>
        <w:t xml:space="preserve"> Bu tür eksiklikler, mahkeme önünde işçiden yana yorumlanarak işverenin aleyhine dönebilir. En yaygın eksiklikleri aşağıda sıraladık:</w:t>
      </w:r>
    </w:p>
    <w:p w14:paraId="6B07E8E0"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b/>
          <w:bCs/>
          <w:sz w:val="22"/>
          <w:szCs w:val="22"/>
        </w:rPr>
        <w:t>Yazılı sözleşme eksikliği:</w:t>
      </w:r>
      <w:r w:rsidRPr="00FB1F06">
        <w:rPr>
          <w:rFonts w:ascii="Times New Roman" w:hAnsi="Times New Roman" w:cs="Times New Roman"/>
          <w:sz w:val="22"/>
          <w:szCs w:val="22"/>
        </w:rPr>
        <w:t xml:space="preserve"> Bazı işletmeler tüm çalışanlarıyla yazılı sözleşme yapmaz. Oysa yazılı iş sözleşmesi, hak ve yükümlülükleri açıklar ve olası anlaşmazlıklarda önemli delil olur.</w:t>
      </w:r>
    </w:p>
    <w:p w14:paraId="297DCC18" w14:textId="77777777" w:rsidR="00FB1F06" w:rsidRPr="00FB1F06" w:rsidRDefault="00FB1F06" w:rsidP="000F1714">
      <w:pPr>
        <w:spacing w:after="0"/>
        <w:jc w:val="both"/>
        <w:rPr>
          <w:rFonts w:ascii="Times New Roman" w:hAnsi="Times New Roman" w:cs="Times New Roman"/>
          <w:sz w:val="22"/>
          <w:szCs w:val="22"/>
        </w:rPr>
      </w:pPr>
    </w:p>
    <w:p w14:paraId="5A0B6BCA"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b/>
          <w:bCs/>
          <w:sz w:val="22"/>
          <w:szCs w:val="22"/>
        </w:rPr>
        <w:t>Belirsiz iş tanımı:</w:t>
      </w:r>
      <w:r w:rsidRPr="00FB1F06">
        <w:rPr>
          <w:rFonts w:ascii="Times New Roman" w:hAnsi="Times New Roman" w:cs="Times New Roman"/>
          <w:sz w:val="22"/>
          <w:szCs w:val="22"/>
        </w:rPr>
        <w:t xml:space="preserve"> İşin kapsamı, görev ve sorumluluklar açıkça belirtilmeli. Aksi halde işçinin hangi işleri yapacağı belirsiz kalır, bu durum da ileride işe son verme veya tazminat hesaplamalarında sorun yaratır.</w:t>
      </w:r>
    </w:p>
    <w:p w14:paraId="033311A2" w14:textId="77777777" w:rsidR="00FB1F06" w:rsidRPr="00FB1F06" w:rsidRDefault="00FB1F06" w:rsidP="000F1714">
      <w:pPr>
        <w:spacing w:after="0"/>
        <w:jc w:val="both"/>
        <w:rPr>
          <w:rFonts w:ascii="Times New Roman" w:hAnsi="Times New Roman" w:cs="Times New Roman"/>
          <w:b/>
          <w:bCs/>
          <w:sz w:val="22"/>
          <w:szCs w:val="22"/>
        </w:rPr>
      </w:pPr>
    </w:p>
    <w:p w14:paraId="593820E2"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b/>
          <w:bCs/>
          <w:sz w:val="22"/>
          <w:szCs w:val="22"/>
        </w:rPr>
        <w:t>Eksik deneme süresi:</w:t>
      </w:r>
      <w:r w:rsidRPr="00FB1F06">
        <w:rPr>
          <w:rFonts w:ascii="Times New Roman" w:hAnsi="Times New Roman" w:cs="Times New Roman"/>
          <w:sz w:val="22"/>
          <w:szCs w:val="22"/>
        </w:rPr>
        <w:t xml:space="preserve"> Deneme süresi en fazla 2 aydır, belirtilmediğinde işveren için işten çıkarmak zorlaşır. Deneme süresi konulmaması hem işveren hem işçi için ek tazminat riskini artırır. Toplu iş sözleşmesiyle bu sürenin dört aya kadar uzatılabileceği de mevzuatta açıkça düzenlenmiştir.</w:t>
      </w:r>
    </w:p>
    <w:p w14:paraId="59525E50" w14:textId="77777777" w:rsidR="00FB1F06" w:rsidRPr="00FB1F06" w:rsidRDefault="00FB1F06" w:rsidP="000F1714">
      <w:pPr>
        <w:spacing w:after="0"/>
        <w:jc w:val="both"/>
        <w:rPr>
          <w:rFonts w:ascii="Times New Roman" w:hAnsi="Times New Roman" w:cs="Times New Roman"/>
          <w:b/>
          <w:bCs/>
          <w:sz w:val="22"/>
          <w:szCs w:val="22"/>
        </w:rPr>
      </w:pPr>
    </w:p>
    <w:p w14:paraId="47F8F63C"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b/>
          <w:bCs/>
          <w:sz w:val="22"/>
          <w:szCs w:val="22"/>
        </w:rPr>
        <w:t>Rekabet ve gizlilik hükümleri:</w:t>
      </w:r>
      <w:r w:rsidRPr="00FB1F06">
        <w:rPr>
          <w:rFonts w:ascii="Times New Roman" w:hAnsi="Times New Roman" w:cs="Times New Roman"/>
          <w:sz w:val="22"/>
          <w:szCs w:val="22"/>
        </w:rPr>
        <w:t xml:space="preserve"> Rekabet yasağı veya gizlilik maddesi yanlış veya yetersiz konulduğunda geçersiz sayılabilir. Özellikle rekabet yasağı bakımından Türk Borçlar Kanunu </w:t>
      </w:r>
      <w:proofErr w:type="spellStart"/>
      <w:r w:rsidRPr="00FB1F06">
        <w:rPr>
          <w:rFonts w:ascii="Times New Roman" w:hAnsi="Times New Roman" w:cs="Times New Roman"/>
          <w:sz w:val="22"/>
          <w:szCs w:val="22"/>
        </w:rPr>
        <w:t>md.</w:t>
      </w:r>
      <w:proofErr w:type="spellEnd"/>
      <w:r w:rsidRPr="00FB1F06">
        <w:rPr>
          <w:rFonts w:ascii="Times New Roman" w:hAnsi="Times New Roman" w:cs="Times New Roman"/>
          <w:sz w:val="22"/>
          <w:szCs w:val="22"/>
        </w:rPr>
        <w:t xml:space="preserve"> 444 ve devamı hükümleri uyarınca süre, yer ve konu bakımından sınırlama yapılması zorunludur; aksi halde bu tür hükümler mahkemelerce geçersiz kabul edilmektedir.</w:t>
      </w:r>
    </w:p>
    <w:p w14:paraId="350B271A" w14:textId="77777777" w:rsidR="00FB1F06" w:rsidRPr="00FB1F06" w:rsidRDefault="00FB1F06" w:rsidP="000F1714">
      <w:pPr>
        <w:spacing w:after="0"/>
        <w:jc w:val="both"/>
        <w:rPr>
          <w:rFonts w:ascii="Times New Roman" w:hAnsi="Times New Roman" w:cs="Times New Roman"/>
          <w:b/>
          <w:bCs/>
          <w:sz w:val="22"/>
          <w:szCs w:val="22"/>
        </w:rPr>
      </w:pPr>
    </w:p>
    <w:p w14:paraId="07E7D8FB"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b/>
          <w:bCs/>
          <w:sz w:val="22"/>
          <w:szCs w:val="22"/>
        </w:rPr>
        <w:t>Cezai şart:</w:t>
      </w:r>
      <w:r w:rsidRPr="00FB1F06">
        <w:rPr>
          <w:rFonts w:ascii="Times New Roman" w:hAnsi="Times New Roman" w:cs="Times New Roman"/>
          <w:sz w:val="22"/>
          <w:szCs w:val="22"/>
        </w:rPr>
        <w:t xml:space="preserve"> Özellikle belirli süreli sözleşmelerde, işçi tarafından haksız fesih halinde işvereni koruyacak cezai şartlar eklemek gerekir. Tek taraflı ve aşırı cezalar mahkemede geçersiz görülebilir. Yargıtay uygulamasında da cezai şartın karşılıklılık ilkesine uygun olması ve fahiş nitelik taşımaması aranmaktadır.</w:t>
      </w:r>
    </w:p>
    <w:p w14:paraId="647BC210" w14:textId="77777777" w:rsidR="00FB1F06" w:rsidRPr="00FB1F06" w:rsidRDefault="00FB1F06" w:rsidP="000F1714">
      <w:pPr>
        <w:spacing w:after="0"/>
        <w:jc w:val="both"/>
        <w:rPr>
          <w:rFonts w:ascii="Times New Roman" w:hAnsi="Times New Roman" w:cs="Times New Roman"/>
          <w:sz w:val="22"/>
          <w:szCs w:val="22"/>
        </w:rPr>
      </w:pPr>
      <w:r w:rsidRPr="00FB1F06">
        <w:rPr>
          <w:rFonts w:ascii="Times New Roman" w:hAnsi="Times New Roman" w:cs="Times New Roman"/>
          <w:sz w:val="22"/>
          <w:szCs w:val="22"/>
        </w:rPr>
        <w:t>Bu tür eksiklikler sonucunda işveren hem maddi kayıplar hem de uzun süren davalarla karşılaşabilir. Örneğin, işçinin ihbar veya kıdem tazminatı hesaplamasında ücret dışı ödemeler (yol, yemek, ikramiye vb.) dikkate alınmazsa, mahkeme eksik ödeme kararı verebilir. Dolayısıyla sözleşmede ücret ve yan hakların şeffafça yazılması şarttır.</w:t>
      </w:r>
    </w:p>
    <w:p w14:paraId="7AD0D872" w14:textId="77777777" w:rsidR="00FB1F06" w:rsidRPr="00FB1F06" w:rsidRDefault="00FB1F06" w:rsidP="000F1714">
      <w:pPr>
        <w:spacing w:after="0"/>
        <w:jc w:val="both"/>
        <w:rPr>
          <w:rFonts w:ascii="Times New Roman" w:hAnsi="Times New Roman" w:cs="Times New Roman"/>
          <w:sz w:val="22"/>
          <w:szCs w:val="22"/>
        </w:rPr>
      </w:pPr>
      <w:r w:rsidRPr="00FB1F06">
        <w:rPr>
          <w:rFonts w:ascii="Times New Roman" w:hAnsi="Times New Roman" w:cs="Times New Roman"/>
          <w:b/>
          <w:bCs/>
          <w:sz w:val="22"/>
          <w:szCs w:val="22"/>
        </w:rPr>
        <w:t>Uzaktan Çalışma ve Sözleşme:</w:t>
      </w:r>
      <w:r w:rsidRPr="00FB1F06">
        <w:rPr>
          <w:rFonts w:ascii="Times New Roman" w:hAnsi="Times New Roman" w:cs="Times New Roman"/>
          <w:sz w:val="22"/>
          <w:szCs w:val="22"/>
        </w:rPr>
        <w:t xml:space="preserve"> Son yıllarda uzaktan çalışma yaygınlaşırken mevcut sözleşmeler çoğu zaman yeni durumu kapsamamaktadır. İş Kanunu ve çıkarılan Uzaktan Çalışma Yönetmeliği uyarınca, </w:t>
      </w:r>
      <w:r w:rsidRPr="00FB1F06">
        <w:rPr>
          <w:rFonts w:ascii="Times New Roman" w:hAnsi="Times New Roman" w:cs="Times New Roman"/>
          <w:sz w:val="22"/>
          <w:szCs w:val="22"/>
        </w:rPr>
        <w:lastRenderedPageBreak/>
        <w:t>uzaktan çalışma ancak yazılı iş sözleşmesine ek protokolle düzenlenebilir. Bu ek sözleşmede; işin tanımı, çalışma süresi ve yeri (hangi gün/ saatlerde evden çalışılacağı), ücret, işverenin sağladığı ekipmanlar ve onların korunması gibi hususlar açıkça belirtilmelidir. Örneğin, evden çalışacak kişiye teslim edilecek bilgisayar, modem gibi cihazlar ile bunların bakım/güvenlik sorumluluğunun kimde olduğu sözleşmede yer almalıdır. Uzaktan çalışmanın getirdiği veri güvenliği ve iş sağlığı-güvenliği yükümlülükleri de ihmal edilmemelidir; işveren, uzaktan çalışanı bu konularda bilgilendirip eğitim vermekle yükümlüdür.</w:t>
      </w:r>
    </w:p>
    <w:p w14:paraId="390C7830" w14:textId="77777777" w:rsidR="00FB1F06" w:rsidRPr="00FB1F06" w:rsidRDefault="00FB1F06" w:rsidP="000F1714">
      <w:pPr>
        <w:spacing w:after="0"/>
        <w:jc w:val="both"/>
        <w:rPr>
          <w:rFonts w:ascii="Times New Roman" w:hAnsi="Times New Roman" w:cs="Times New Roman"/>
          <w:sz w:val="22"/>
          <w:szCs w:val="22"/>
        </w:rPr>
      </w:pPr>
      <w:r w:rsidRPr="00FB1F06">
        <w:rPr>
          <w:rFonts w:ascii="Times New Roman" w:hAnsi="Times New Roman" w:cs="Times New Roman"/>
          <w:sz w:val="22"/>
          <w:szCs w:val="22"/>
        </w:rPr>
        <w:t xml:space="preserve">İş sözleşmenizi güncellerken aşağıdaki noktalara özellikle dikkat edilmesi önerilir. </w:t>
      </w:r>
    </w:p>
    <w:p w14:paraId="2E6B9D22"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sz w:val="22"/>
          <w:szCs w:val="22"/>
        </w:rPr>
        <w:t xml:space="preserve">Sözleşmede her iki tarafın hak ve yükümlülükleri açıkça tanımlanmalıdır. </w:t>
      </w:r>
    </w:p>
    <w:p w14:paraId="7177F711"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sz w:val="22"/>
          <w:szCs w:val="22"/>
        </w:rPr>
        <w:t xml:space="preserve">Deneme süresi, ücrete ilişkin unsurlar ve tazminat hesaplama kalemleri (ihbar, kıdem vb.) eksiksiz yazılmalı ve tüm ek ödemeler içeriğe dahil edilmelidir. </w:t>
      </w:r>
    </w:p>
    <w:p w14:paraId="224E3F96"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sz w:val="22"/>
          <w:szCs w:val="22"/>
        </w:rPr>
        <w:t xml:space="preserve">Uzaktan çalışma protokolü yapılmalı ve çalışma yeri/süresini, sağlanan ekipmanları, bağlantı ve performans şartları sözleşmede düzenlenmelidir. </w:t>
      </w:r>
    </w:p>
    <w:p w14:paraId="2EEA3370" w14:textId="77777777" w:rsidR="00FB1F06" w:rsidRPr="00FB1F06" w:rsidRDefault="00FB1F06" w:rsidP="000F1714">
      <w:pPr>
        <w:numPr>
          <w:ilvl w:val="0"/>
          <w:numId w:val="6"/>
        </w:numPr>
        <w:spacing w:after="0"/>
        <w:jc w:val="both"/>
        <w:rPr>
          <w:rFonts w:ascii="Times New Roman" w:hAnsi="Times New Roman" w:cs="Times New Roman"/>
          <w:sz w:val="22"/>
          <w:szCs w:val="22"/>
        </w:rPr>
      </w:pPr>
      <w:r w:rsidRPr="00FB1F06">
        <w:rPr>
          <w:rFonts w:ascii="Times New Roman" w:hAnsi="Times New Roman" w:cs="Times New Roman"/>
          <w:sz w:val="22"/>
          <w:szCs w:val="22"/>
        </w:rPr>
        <w:t>Güncel mevzuat ve Yargıtay kararları ışığında sözleşmeler uzman bir avukatla gözden geçirilmelidir. Zira iş hukuku, emredici nitelikte hükümler içeren ve içtihatlarla sürekli gelişen dinamik bir alandır. Uyumlu ve dikkatli hazırlanan sözleşme hem işverenin hem çalışanın haklarını korur ve gelecekteki ihtilafları büyük ölçüde önler.</w:t>
      </w:r>
    </w:p>
    <w:p w14:paraId="69C41046" w14:textId="77777777" w:rsidR="00FB1F06" w:rsidRPr="00FB1F06" w:rsidRDefault="00FB1F06" w:rsidP="000F1714">
      <w:pPr>
        <w:spacing w:after="0"/>
        <w:jc w:val="both"/>
        <w:rPr>
          <w:rFonts w:ascii="Times New Roman" w:hAnsi="Times New Roman" w:cs="Times New Roman"/>
          <w:sz w:val="22"/>
          <w:szCs w:val="22"/>
        </w:rPr>
      </w:pPr>
      <w:r w:rsidRPr="00FB1F06">
        <w:rPr>
          <w:rFonts w:ascii="Times New Roman" w:hAnsi="Times New Roman" w:cs="Times New Roman"/>
          <w:sz w:val="22"/>
          <w:szCs w:val="22"/>
        </w:rPr>
        <w:t>Sonuç olarak, iş sözleşmesi var olması yeterli güvence sağlamayabilir. Standart sözleşmelerdeki eksiklikler ciddi hukuki riskler doğurabilir. Kurumsal riski azaltmak için iş sözleşmelerinin periyodik olarak gözden geçirilmesi önemlidir. Bu tarz önlemler ileride ödenebilecek yüklü tazminatlardan kurumunuzu koruyacaktır.</w:t>
      </w:r>
    </w:p>
    <w:p w14:paraId="1B7897EE" w14:textId="77777777" w:rsidR="00FB1F06" w:rsidRDefault="00FB1F06" w:rsidP="000F1714">
      <w:pPr>
        <w:spacing w:after="0"/>
        <w:jc w:val="both"/>
        <w:rPr>
          <w:rFonts w:ascii="Times New Roman" w:hAnsi="Times New Roman" w:cs="Times New Roman"/>
          <w:sz w:val="22"/>
          <w:szCs w:val="22"/>
        </w:rPr>
      </w:pPr>
    </w:p>
    <w:p w14:paraId="25982054" w14:textId="77777777" w:rsidR="00FB1F06" w:rsidRPr="00FB1F06" w:rsidRDefault="00FB1F06" w:rsidP="000F1714">
      <w:pPr>
        <w:spacing w:after="0"/>
        <w:jc w:val="both"/>
        <w:rPr>
          <w:rFonts w:ascii="Times New Roman" w:hAnsi="Times New Roman" w:cs="Times New Roman"/>
          <w:sz w:val="22"/>
          <w:szCs w:val="22"/>
        </w:rPr>
      </w:pPr>
    </w:p>
    <w:p w14:paraId="072C0E9C" w14:textId="77777777"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MOBBİNG ÖNLEME SÜRECİNDE İZLENECEK TEMEL AŞAMALAR</w:t>
      </w:r>
    </w:p>
    <w:p w14:paraId="59977174" w14:textId="77777777" w:rsidR="00BD7DD6" w:rsidRDefault="00BD7DD6" w:rsidP="000F1714">
      <w:pPr>
        <w:pStyle w:val="ListeParagraf"/>
        <w:spacing w:after="0"/>
        <w:ind w:left="284"/>
        <w:jc w:val="both"/>
        <w:rPr>
          <w:rFonts w:ascii="Times New Roman" w:hAnsi="Times New Roman" w:cs="Times New Roman"/>
          <w:sz w:val="22"/>
          <w:szCs w:val="22"/>
        </w:rPr>
      </w:pPr>
    </w:p>
    <w:p w14:paraId="73ED8518" w14:textId="77777777" w:rsidR="0033052B" w:rsidRPr="0033052B" w:rsidRDefault="0033052B" w:rsidP="000F1714">
      <w:pPr>
        <w:pStyle w:val="ListeParagraf"/>
        <w:spacing w:after="0"/>
        <w:ind w:left="284"/>
        <w:jc w:val="both"/>
        <w:rPr>
          <w:rFonts w:ascii="Times New Roman" w:hAnsi="Times New Roman" w:cs="Times New Roman"/>
          <w:b/>
          <w:bCs/>
          <w:sz w:val="22"/>
          <w:szCs w:val="22"/>
        </w:rPr>
      </w:pPr>
      <w:r w:rsidRPr="0033052B">
        <w:rPr>
          <w:rFonts w:ascii="Times New Roman" w:hAnsi="Times New Roman" w:cs="Times New Roman"/>
          <w:b/>
          <w:bCs/>
          <w:sz w:val="22"/>
          <w:szCs w:val="22"/>
        </w:rPr>
        <w:t>Mevcut durumu analiz edin.</w:t>
      </w:r>
    </w:p>
    <w:p w14:paraId="7A17D251" w14:textId="77777777" w:rsidR="0033052B" w:rsidRDefault="0033052B" w:rsidP="000F1714">
      <w:pPr>
        <w:pStyle w:val="ListeParagraf"/>
        <w:spacing w:after="0"/>
        <w:ind w:left="284"/>
        <w:jc w:val="both"/>
        <w:rPr>
          <w:rFonts w:ascii="Times New Roman" w:hAnsi="Times New Roman" w:cs="Times New Roman"/>
          <w:sz w:val="22"/>
          <w:szCs w:val="22"/>
        </w:rPr>
      </w:pPr>
      <w:r w:rsidRPr="0033052B">
        <w:rPr>
          <w:rFonts w:ascii="Times New Roman" w:hAnsi="Times New Roman" w:cs="Times New Roman"/>
          <w:sz w:val="22"/>
          <w:szCs w:val="22"/>
        </w:rPr>
        <w:t>Çalışma ortamındaki iletişim, yönetim tarzı ve insan kaynakları süreçlerini değerlendirin. Risk alanlarını belirleyin.</w:t>
      </w:r>
    </w:p>
    <w:p w14:paraId="3A456A4E" w14:textId="77777777" w:rsidR="000F1714" w:rsidRPr="0033052B" w:rsidRDefault="000F1714" w:rsidP="000F1714">
      <w:pPr>
        <w:pStyle w:val="ListeParagraf"/>
        <w:spacing w:after="0"/>
        <w:ind w:left="284"/>
        <w:jc w:val="both"/>
        <w:rPr>
          <w:rFonts w:ascii="Times New Roman" w:hAnsi="Times New Roman" w:cs="Times New Roman"/>
          <w:sz w:val="22"/>
          <w:szCs w:val="22"/>
        </w:rPr>
      </w:pPr>
    </w:p>
    <w:p w14:paraId="7EEC5D24" w14:textId="77777777" w:rsidR="0033052B" w:rsidRPr="0033052B" w:rsidRDefault="0033052B" w:rsidP="000F1714">
      <w:pPr>
        <w:pStyle w:val="ListeParagraf"/>
        <w:spacing w:after="0"/>
        <w:ind w:left="284"/>
        <w:jc w:val="both"/>
        <w:rPr>
          <w:rFonts w:ascii="Times New Roman" w:hAnsi="Times New Roman" w:cs="Times New Roman"/>
          <w:b/>
          <w:bCs/>
          <w:sz w:val="22"/>
          <w:szCs w:val="22"/>
        </w:rPr>
      </w:pPr>
      <w:r w:rsidRPr="0033052B">
        <w:rPr>
          <w:rFonts w:ascii="Times New Roman" w:hAnsi="Times New Roman" w:cs="Times New Roman"/>
          <w:b/>
          <w:bCs/>
          <w:sz w:val="22"/>
          <w:szCs w:val="22"/>
        </w:rPr>
        <w:t>Politikanızı oluşturun.</w:t>
      </w:r>
    </w:p>
    <w:p w14:paraId="4CBE27B0" w14:textId="77777777" w:rsidR="0033052B" w:rsidRDefault="0033052B" w:rsidP="000F1714">
      <w:pPr>
        <w:pStyle w:val="ListeParagraf"/>
        <w:spacing w:after="0"/>
        <w:ind w:left="284"/>
        <w:jc w:val="both"/>
        <w:rPr>
          <w:rFonts w:ascii="Times New Roman" w:hAnsi="Times New Roman" w:cs="Times New Roman"/>
          <w:sz w:val="22"/>
          <w:szCs w:val="22"/>
        </w:rPr>
      </w:pPr>
      <w:r w:rsidRPr="0033052B">
        <w:rPr>
          <w:rFonts w:ascii="Times New Roman" w:hAnsi="Times New Roman" w:cs="Times New Roman"/>
          <w:sz w:val="22"/>
          <w:szCs w:val="22"/>
        </w:rPr>
        <w:t xml:space="preserve">Mobbing tanımını, kurum içi davranış standartlarını ve </w:t>
      </w:r>
      <w:proofErr w:type="gramStart"/>
      <w:r w:rsidRPr="0033052B">
        <w:rPr>
          <w:rFonts w:ascii="Times New Roman" w:hAnsi="Times New Roman" w:cs="Times New Roman"/>
          <w:sz w:val="22"/>
          <w:szCs w:val="22"/>
        </w:rPr>
        <w:t>şikayet</w:t>
      </w:r>
      <w:proofErr w:type="gramEnd"/>
      <w:r w:rsidRPr="0033052B">
        <w:rPr>
          <w:rFonts w:ascii="Times New Roman" w:hAnsi="Times New Roman" w:cs="Times New Roman"/>
          <w:sz w:val="22"/>
          <w:szCs w:val="22"/>
        </w:rPr>
        <w:t xml:space="preserve"> süreçlerini açık biçimde belirleyin.</w:t>
      </w:r>
    </w:p>
    <w:p w14:paraId="2ED6F987" w14:textId="77777777" w:rsidR="000F1714" w:rsidRPr="0033052B" w:rsidRDefault="000F1714" w:rsidP="000F1714">
      <w:pPr>
        <w:pStyle w:val="ListeParagraf"/>
        <w:spacing w:after="0"/>
        <w:ind w:left="284"/>
        <w:jc w:val="both"/>
        <w:rPr>
          <w:rFonts w:ascii="Times New Roman" w:hAnsi="Times New Roman" w:cs="Times New Roman"/>
          <w:sz w:val="22"/>
          <w:szCs w:val="22"/>
        </w:rPr>
      </w:pPr>
    </w:p>
    <w:p w14:paraId="36055D49" w14:textId="77777777" w:rsidR="0033052B" w:rsidRPr="0033052B" w:rsidRDefault="0033052B" w:rsidP="000F1714">
      <w:pPr>
        <w:pStyle w:val="ListeParagraf"/>
        <w:spacing w:after="0"/>
        <w:ind w:left="284"/>
        <w:jc w:val="both"/>
        <w:rPr>
          <w:rFonts w:ascii="Times New Roman" w:hAnsi="Times New Roman" w:cs="Times New Roman"/>
          <w:b/>
          <w:bCs/>
          <w:sz w:val="22"/>
          <w:szCs w:val="22"/>
        </w:rPr>
      </w:pPr>
      <w:r w:rsidRPr="0033052B">
        <w:rPr>
          <w:rFonts w:ascii="Times New Roman" w:hAnsi="Times New Roman" w:cs="Times New Roman"/>
          <w:b/>
          <w:bCs/>
          <w:sz w:val="22"/>
          <w:szCs w:val="22"/>
        </w:rPr>
        <w:t>Sorumlu ekibi belirleyin.</w:t>
      </w:r>
    </w:p>
    <w:p w14:paraId="06D884E7" w14:textId="77777777" w:rsidR="0033052B" w:rsidRDefault="0033052B" w:rsidP="000F1714">
      <w:pPr>
        <w:pStyle w:val="ListeParagraf"/>
        <w:spacing w:after="0"/>
        <w:ind w:left="284"/>
        <w:jc w:val="both"/>
        <w:rPr>
          <w:rFonts w:ascii="Times New Roman" w:hAnsi="Times New Roman" w:cs="Times New Roman"/>
          <w:sz w:val="22"/>
          <w:szCs w:val="22"/>
        </w:rPr>
      </w:pPr>
      <w:r w:rsidRPr="0033052B">
        <w:rPr>
          <w:rFonts w:ascii="Times New Roman" w:hAnsi="Times New Roman" w:cs="Times New Roman"/>
          <w:sz w:val="22"/>
          <w:szCs w:val="22"/>
        </w:rPr>
        <w:t>Şikayetlerin alınacağı, gizlilik içinde değerlendirileceği birim veya kişiler görevlendirin.</w:t>
      </w:r>
    </w:p>
    <w:p w14:paraId="20A46D7A" w14:textId="77777777" w:rsidR="000F1714" w:rsidRPr="0033052B" w:rsidRDefault="000F1714" w:rsidP="000F1714">
      <w:pPr>
        <w:pStyle w:val="ListeParagraf"/>
        <w:spacing w:after="0"/>
        <w:ind w:left="284"/>
        <w:jc w:val="both"/>
        <w:rPr>
          <w:rFonts w:ascii="Times New Roman" w:hAnsi="Times New Roman" w:cs="Times New Roman"/>
          <w:sz w:val="22"/>
          <w:szCs w:val="22"/>
        </w:rPr>
      </w:pPr>
    </w:p>
    <w:p w14:paraId="3B6F3B0E" w14:textId="77777777" w:rsidR="0033052B" w:rsidRPr="0033052B" w:rsidRDefault="0033052B" w:rsidP="000F1714">
      <w:pPr>
        <w:pStyle w:val="ListeParagraf"/>
        <w:spacing w:after="0"/>
        <w:ind w:left="284"/>
        <w:jc w:val="both"/>
        <w:rPr>
          <w:rFonts w:ascii="Times New Roman" w:hAnsi="Times New Roman" w:cs="Times New Roman"/>
          <w:b/>
          <w:bCs/>
          <w:sz w:val="22"/>
          <w:szCs w:val="22"/>
        </w:rPr>
      </w:pPr>
      <w:r w:rsidRPr="0033052B">
        <w:rPr>
          <w:rFonts w:ascii="Times New Roman" w:hAnsi="Times New Roman" w:cs="Times New Roman"/>
          <w:b/>
          <w:bCs/>
          <w:sz w:val="22"/>
          <w:szCs w:val="22"/>
        </w:rPr>
        <w:t>Bildirim ve denetim mekanizması kurun.</w:t>
      </w:r>
    </w:p>
    <w:p w14:paraId="35395736" w14:textId="77777777" w:rsidR="0033052B" w:rsidRDefault="0033052B" w:rsidP="000F1714">
      <w:pPr>
        <w:pStyle w:val="ListeParagraf"/>
        <w:spacing w:after="0"/>
        <w:ind w:left="284"/>
        <w:jc w:val="both"/>
        <w:rPr>
          <w:rFonts w:ascii="Times New Roman" w:hAnsi="Times New Roman" w:cs="Times New Roman"/>
          <w:sz w:val="22"/>
          <w:szCs w:val="22"/>
        </w:rPr>
      </w:pPr>
      <w:r w:rsidRPr="0033052B">
        <w:rPr>
          <w:rFonts w:ascii="Times New Roman" w:hAnsi="Times New Roman" w:cs="Times New Roman"/>
          <w:sz w:val="22"/>
          <w:szCs w:val="22"/>
        </w:rPr>
        <w:t>Olay bildirimlerinin güvenli şekilde yapılabileceği, tarafsız denetim sağlayan bir sistem oluşturun.</w:t>
      </w:r>
    </w:p>
    <w:p w14:paraId="6A29A649" w14:textId="77777777" w:rsidR="000F1714" w:rsidRPr="0033052B" w:rsidRDefault="000F1714" w:rsidP="000F1714">
      <w:pPr>
        <w:pStyle w:val="ListeParagraf"/>
        <w:spacing w:after="0"/>
        <w:ind w:left="284"/>
        <w:jc w:val="both"/>
        <w:rPr>
          <w:rFonts w:ascii="Times New Roman" w:hAnsi="Times New Roman" w:cs="Times New Roman"/>
          <w:sz w:val="22"/>
          <w:szCs w:val="22"/>
        </w:rPr>
      </w:pPr>
    </w:p>
    <w:p w14:paraId="73D38543" w14:textId="77777777" w:rsidR="0033052B" w:rsidRPr="0033052B" w:rsidRDefault="0033052B" w:rsidP="000F1714">
      <w:pPr>
        <w:pStyle w:val="ListeParagraf"/>
        <w:spacing w:after="0"/>
        <w:ind w:left="284"/>
        <w:jc w:val="both"/>
        <w:rPr>
          <w:rFonts w:ascii="Times New Roman" w:hAnsi="Times New Roman" w:cs="Times New Roman"/>
          <w:b/>
          <w:bCs/>
          <w:sz w:val="22"/>
          <w:szCs w:val="22"/>
        </w:rPr>
      </w:pPr>
      <w:r w:rsidRPr="0033052B">
        <w:rPr>
          <w:rFonts w:ascii="Times New Roman" w:hAnsi="Times New Roman" w:cs="Times New Roman"/>
          <w:b/>
          <w:bCs/>
          <w:sz w:val="22"/>
          <w:szCs w:val="22"/>
        </w:rPr>
        <w:t>Eğitim ve farkındalık çalışmaları düzenleyin.</w:t>
      </w:r>
    </w:p>
    <w:p w14:paraId="14AC4298" w14:textId="77777777" w:rsidR="0033052B" w:rsidRDefault="0033052B" w:rsidP="000F1714">
      <w:pPr>
        <w:pStyle w:val="ListeParagraf"/>
        <w:spacing w:after="0"/>
        <w:ind w:left="284"/>
        <w:jc w:val="both"/>
        <w:rPr>
          <w:rFonts w:ascii="Times New Roman" w:hAnsi="Times New Roman" w:cs="Times New Roman"/>
          <w:sz w:val="22"/>
          <w:szCs w:val="22"/>
        </w:rPr>
      </w:pPr>
      <w:r w:rsidRPr="0033052B">
        <w:rPr>
          <w:rFonts w:ascii="Times New Roman" w:hAnsi="Times New Roman" w:cs="Times New Roman"/>
          <w:sz w:val="22"/>
          <w:szCs w:val="22"/>
        </w:rPr>
        <w:t>Yöneticiler ve çalışanlar için düzenli eğitimlerle doğru iletişim ve etik davranış kültürünü güçlendirin. Politikanın etkinliğini periyodik olarak gözden geçirin, geri bildirimleri dikkate alarak güncelleyin.</w:t>
      </w:r>
    </w:p>
    <w:p w14:paraId="6FF0A819" w14:textId="77777777" w:rsidR="000F1714" w:rsidRDefault="000F1714" w:rsidP="000F1714">
      <w:pPr>
        <w:pStyle w:val="ListeParagraf"/>
        <w:spacing w:after="0"/>
        <w:ind w:left="284"/>
        <w:jc w:val="both"/>
        <w:rPr>
          <w:rFonts w:ascii="Times New Roman" w:hAnsi="Times New Roman" w:cs="Times New Roman"/>
          <w:sz w:val="22"/>
          <w:szCs w:val="22"/>
        </w:rPr>
      </w:pPr>
    </w:p>
    <w:p w14:paraId="53B136C8" w14:textId="77777777" w:rsidR="000F1714" w:rsidRDefault="000F1714" w:rsidP="000F1714">
      <w:pPr>
        <w:pStyle w:val="ListeParagraf"/>
        <w:spacing w:after="0"/>
        <w:ind w:left="284"/>
        <w:jc w:val="both"/>
        <w:rPr>
          <w:rFonts w:ascii="Times New Roman" w:hAnsi="Times New Roman" w:cs="Times New Roman"/>
          <w:sz w:val="22"/>
          <w:szCs w:val="22"/>
        </w:rPr>
      </w:pPr>
    </w:p>
    <w:p w14:paraId="2AFAFCE1" w14:textId="77777777" w:rsidR="000F1714" w:rsidRDefault="000F1714" w:rsidP="000F1714">
      <w:pPr>
        <w:pStyle w:val="ListeParagraf"/>
        <w:spacing w:after="0"/>
        <w:ind w:left="284"/>
        <w:jc w:val="both"/>
        <w:rPr>
          <w:rFonts w:ascii="Times New Roman" w:hAnsi="Times New Roman" w:cs="Times New Roman"/>
          <w:sz w:val="22"/>
          <w:szCs w:val="22"/>
        </w:rPr>
      </w:pPr>
    </w:p>
    <w:p w14:paraId="6F59FA5B" w14:textId="77777777" w:rsidR="000F1714" w:rsidRDefault="000F1714" w:rsidP="000F1714">
      <w:pPr>
        <w:pStyle w:val="ListeParagraf"/>
        <w:spacing w:after="0"/>
        <w:ind w:left="284"/>
        <w:jc w:val="both"/>
        <w:rPr>
          <w:rFonts w:ascii="Times New Roman" w:hAnsi="Times New Roman" w:cs="Times New Roman"/>
          <w:sz w:val="22"/>
          <w:szCs w:val="22"/>
        </w:rPr>
      </w:pPr>
    </w:p>
    <w:p w14:paraId="37D6863D" w14:textId="77777777" w:rsidR="000F1714" w:rsidRPr="008D2113" w:rsidRDefault="000F1714" w:rsidP="008D2113">
      <w:pPr>
        <w:spacing w:after="0"/>
        <w:jc w:val="both"/>
        <w:rPr>
          <w:rFonts w:ascii="Times New Roman" w:hAnsi="Times New Roman" w:cs="Times New Roman"/>
          <w:sz w:val="22"/>
          <w:szCs w:val="22"/>
        </w:rPr>
      </w:pPr>
    </w:p>
    <w:p w14:paraId="69A51BF4" w14:textId="36318CDF" w:rsidR="000F1714" w:rsidRPr="00E879EA" w:rsidRDefault="00E879EA" w:rsidP="00E879EA">
      <w:pPr>
        <w:pStyle w:val="ListeParagraf"/>
        <w:spacing w:after="0"/>
        <w:ind w:left="284"/>
        <w:jc w:val="right"/>
        <w:rPr>
          <w:rFonts w:ascii="Times New Roman" w:hAnsi="Times New Roman" w:cs="Times New Roman"/>
          <w:b/>
          <w:bCs/>
          <w:sz w:val="22"/>
          <w:szCs w:val="22"/>
        </w:rPr>
      </w:pPr>
      <w:r w:rsidRPr="00E879EA">
        <w:rPr>
          <w:rFonts w:ascii="Times New Roman" w:hAnsi="Times New Roman" w:cs="Times New Roman"/>
          <w:b/>
          <w:bCs/>
          <w:sz w:val="22"/>
          <w:szCs w:val="22"/>
        </w:rPr>
        <w:lastRenderedPageBreak/>
        <w:t>EYLÜL 2025</w:t>
      </w:r>
    </w:p>
    <w:p w14:paraId="6BC2631F" w14:textId="77777777" w:rsidR="00BD7DD6" w:rsidRPr="00CE4199" w:rsidRDefault="00BD7DD6" w:rsidP="000F1714">
      <w:pPr>
        <w:pStyle w:val="ListeParagraf"/>
        <w:spacing w:after="0"/>
        <w:ind w:left="284"/>
        <w:jc w:val="both"/>
        <w:rPr>
          <w:rFonts w:ascii="Times New Roman" w:hAnsi="Times New Roman" w:cs="Times New Roman"/>
          <w:sz w:val="22"/>
          <w:szCs w:val="22"/>
        </w:rPr>
      </w:pPr>
    </w:p>
    <w:p w14:paraId="40392700" w14:textId="77777777" w:rsidR="00CE4199"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 xml:space="preserve">FREELANCE ÇALIŞMALARINDA DİKKAT EDİLMESİ GEREKEN HUKUKİ NOKTALAR </w:t>
      </w:r>
    </w:p>
    <w:p w14:paraId="4FEF8361" w14:textId="77777777" w:rsidR="000F1714" w:rsidRPr="000F1714" w:rsidRDefault="000F1714" w:rsidP="000F1714">
      <w:pPr>
        <w:pStyle w:val="ListeParagraf"/>
        <w:spacing w:after="0"/>
        <w:ind w:left="284"/>
        <w:jc w:val="both"/>
        <w:rPr>
          <w:rFonts w:ascii="Times New Roman" w:hAnsi="Times New Roman" w:cs="Times New Roman"/>
          <w:b/>
          <w:bCs/>
          <w:sz w:val="22"/>
          <w:szCs w:val="22"/>
        </w:rPr>
      </w:pPr>
    </w:p>
    <w:p w14:paraId="03B44400" w14:textId="77777777" w:rsidR="00BD7DD6" w:rsidRDefault="00BD7DD6" w:rsidP="000F1714">
      <w:pPr>
        <w:pStyle w:val="ListeParagraf"/>
        <w:spacing w:after="0"/>
        <w:ind w:left="284"/>
        <w:jc w:val="both"/>
        <w:rPr>
          <w:rFonts w:ascii="Times New Roman" w:hAnsi="Times New Roman" w:cs="Times New Roman"/>
          <w:sz w:val="22"/>
          <w:szCs w:val="22"/>
        </w:rPr>
      </w:pPr>
      <w:r w:rsidRPr="00BD7DD6">
        <w:rPr>
          <w:rFonts w:ascii="Times New Roman" w:hAnsi="Times New Roman" w:cs="Times New Roman"/>
          <w:sz w:val="22"/>
          <w:szCs w:val="22"/>
        </w:rPr>
        <w:t xml:space="preserve">Serbest çalışma modeli, dijitalleşmenin etkisiyle hem şirketler hem de bireyler için önemli bir istihdam biçimidir. Ancak bu esnek yapı, yeterli hukuki dikkat gösterilmediğinde çeşitli uyuşmazlıklara neden olabilir. Gelin, </w:t>
      </w: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çalışma ilişkilerinde en sık gözden kaçan hukuki noktaları birlikte inceleyelim.</w:t>
      </w:r>
    </w:p>
    <w:p w14:paraId="4E5C5B5F" w14:textId="77777777" w:rsidR="000F1714" w:rsidRPr="00BD7DD6" w:rsidRDefault="000F1714" w:rsidP="000F1714">
      <w:pPr>
        <w:pStyle w:val="ListeParagraf"/>
        <w:spacing w:after="0"/>
        <w:ind w:left="284"/>
        <w:jc w:val="both"/>
        <w:rPr>
          <w:rFonts w:ascii="Times New Roman" w:hAnsi="Times New Roman" w:cs="Times New Roman"/>
          <w:sz w:val="22"/>
          <w:szCs w:val="22"/>
        </w:rPr>
      </w:pPr>
    </w:p>
    <w:p w14:paraId="35A1757D" w14:textId="77777777" w:rsidR="00BD7DD6" w:rsidRPr="000F1714" w:rsidRDefault="00BD7DD6"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İşin Niteliğinin Doğru Tanımlanması</w:t>
      </w:r>
    </w:p>
    <w:p w14:paraId="0E250CD0" w14:textId="77777777" w:rsidR="00BD7DD6" w:rsidRDefault="00BD7DD6" w:rsidP="000F1714">
      <w:pPr>
        <w:pStyle w:val="ListeParagraf"/>
        <w:spacing w:after="0"/>
        <w:ind w:left="284"/>
        <w:jc w:val="both"/>
        <w:rPr>
          <w:rFonts w:ascii="Times New Roman" w:hAnsi="Times New Roman" w:cs="Times New Roman"/>
          <w:sz w:val="22"/>
          <w:szCs w:val="22"/>
        </w:rPr>
      </w:pP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çalışmalarda en çok karıştırılan konulardan biri, taraflardan birinin şirket statüsünde olması hâlinde iş ilişkisinin ortadan kalkıp kalkmayacağıdır. </w:t>
      </w: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çalışma, yapısı gereği iş sözleşmesinden farklıdır. Türk Borçlar Kanunu’na göre, iş sözleşmesinde çalışan, işverenin emir ve talimatı altında, belirli bir süre boyunca hizmet sunar. </w:t>
      </w: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ilişkide ise kişi, işin nasıl ve ne zaman yapılacağına kendisi karar verir ve ortaya çıkan sonuçtan sorumlu olur.</w:t>
      </w:r>
    </w:p>
    <w:p w14:paraId="2C393300" w14:textId="77777777" w:rsidR="000F1714" w:rsidRPr="00BD7DD6" w:rsidRDefault="000F1714" w:rsidP="000F1714">
      <w:pPr>
        <w:pStyle w:val="ListeParagraf"/>
        <w:spacing w:after="0"/>
        <w:ind w:left="284"/>
        <w:jc w:val="both"/>
        <w:rPr>
          <w:rFonts w:ascii="Times New Roman" w:hAnsi="Times New Roman" w:cs="Times New Roman"/>
          <w:sz w:val="22"/>
          <w:szCs w:val="22"/>
        </w:rPr>
      </w:pPr>
    </w:p>
    <w:p w14:paraId="3E693738" w14:textId="77777777" w:rsidR="00BD7DD6" w:rsidRDefault="00BD7DD6" w:rsidP="000F1714">
      <w:pPr>
        <w:pStyle w:val="ListeParagraf"/>
        <w:spacing w:after="0"/>
        <w:ind w:left="284"/>
        <w:jc w:val="both"/>
        <w:rPr>
          <w:rFonts w:ascii="Times New Roman" w:hAnsi="Times New Roman" w:cs="Times New Roman"/>
          <w:sz w:val="22"/>
          <w:szCs w:val="22"/>
        </w:rPr>
      </w:pPr>
      <w:r w:rsidRPr="00BD7DD6">
        <w:rPr>
          <w:rFonts w:ascii="Times New Roman" w:hAnsi="Times New Roman" w:cs="Times New Roman"/>
          <w:sz w:val="22"/>
          <w:szCs w:val="22"/>
        </w:rPr>
        <w:t>Taraflardan biri kendi şirketi üzerinden hizmet veriyor, işini bağımsız biçimde yürütüyor ve farklı müşterilere proje bazlı hizmet sağlıyorsa, bu ilişki iş sözleşmesi değil, hizmet veya eser sözleşmesi olarak değerlendirilir. İşçi statüsü, sürekli denetim altında çalışmayı, belirli bir hiyerarşiye bağlı olmayı ve işverenin yönetim yetkisini kabul etmeyi gerektirir.</w:t>
      </w:r>
    </w:p>
    <w:p w14:paraId="52E6A018" w14:textId="77777777" w:rsidR="000F1714" w:rsidRPr="00BD7DD6" w:rsidRDefault="000F1714" w:rsidP="000F1714">
      <w:pPr>
        <w:pStyle w:val="ListeParagraf"/>
        <w:spacing w:after="0"/>
        <w:ind w:left="284"/>
        <w:jc w:val="both"/>
        <w:rPr>
          <w:rFonts w:ascii="Times New Roman" w:hAnsi="Times New Roman" w:cs="Times New Roman"/>
          <w:sz w:val="22"/>
          <w:szCs w:val="22"/>
        </w:rPr>
      </w:pPr>
    </w:p>
    <w:p w14:paraId="657826E6" w14:textId="77777777" w:rsidR="00BD7DD6" w:rsidRDefault="00BD7DD6" w:rsidP="000F1714">
      <w:pPr>
        <w:pStyle w:val="ListeParagraf"/>
        <w:spacing w:after="0"/>
        <w:ind w:left="284"/>
        <w:jc w:val="both"/>
        <w:rPr>
          <w:rFonts w:ascii="Times New Roman" w:hAnsi="Times New Roman" w:cs="Times New Roman"/>
          <w:sz w:val="22"/>
          <w:szCs w:val="22"/>
        </w:rPr>
      </w:pP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çalışma modelinde bu unsurlar bulunmadığı sürece, taraflar arasındaki ilişki bağımsız nitelikte kabul edilir. Bu ayrımın doğru </w:t>
      </w:r>
      <w:proofErr w:type="gramStart"/>
      <w:r w:rsidRPr="00BD7DD6">
        <w:rPr>
          <w:rFonts w:ascii="Times New Roman" w:hAnsi="Times New Roman" w:cs="Times New Roman"/>
          <w:sz w:val="22"/>
          <w:szCs w:val="22"/>
        </w:rPr>
        <w:t>yapılması,</w:t>
      </w:r>
      <w:proofErr w:type="gramEnd"/>
      <w:r w:rsidRPr="00BD7DD6">
        <w:rPr>
          <w:rFonts w:ascii="Times New Roman" w:hAnsi="Times New Roman" w:cs="Times New Roman"/>
          <w:sz w:val="22"/>
          <w:szCs w:val="22"/>
        </w:rPr>
        <w:t xml:space="preserve"> hem vergi hem sosyal güvenlik açısından olası yanlış yorumların önüne geçer.</w:t>
      </w:r>
    </w:p>
    <w:p w14:paraId="12FC09FA" w14:textId="77777777" w:rsidR="000F1714" w:rsidRPr="00BD7DD6" w:rsidRDefault="000F1714" w:rsidP="000F1714">
      <w:pPr>
        <w:pStyle w:val="ListeParagraf"/>
        <w:spacing w:after="0"/>
        <w:ind w:left="284"/>
        <w:jc w:val="both"/>
        <w:rPr>
          <w:rFonts w:ascii="Times New Roman" w:hAnsi="Times New Roman" w:cs="Times New Roman"/>
          <w:sz w:val="22"/>
          <w:szCs w:val="22"/>
        </w:rPr>
      </w:pPr>
    </w:p>
    <w:p w14:paraId="4D79314D" w14:textId="77777777" w:rsidR="00BD7DD6" w:rsidRPr="000F1714" w:rsidRDefault="00BD7DD6"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Fikri Hakların Açık Biçimde Belirlenmesi</w:t>
      </w:r>
    </w:p>
    <w:p w14:paraId="3D653874" w14:textId="77777777" w:rsidR="00BD7DD6" w:rsidRDefault="00BD7DD6" w:rsidP="000F1714">
      <w:pPr>
        <w:pStyle w:val="ListeParagraf"/>
        <w:spacing w:after="0"/>
        <w:ind w:left="284"/>
        <w:jc w:val="both"/>
        <w:rPr>
          <w:rFonts w:ascii="Times New Roman" w:hAnsi="Times New Roman" w:cs="Times New Roman"/>
          <w:sz w:val="22"/>
          <w:szCs w:val="22"/>
        </w:rPr>
      </w:pP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çalışmalarda üretilen her içerik, Fikir ve Sanat Eserleri Kanunu kapsamında bir eser niteliği taşıyabilir. Kanuna göre, mali hakların devri ancak yazılı bir hükümle mümkündür. Bu nedenle üretilen tasarım, metin, yazılım veya görselin kime ait olacağı açıkça belirtilmelidir. Hak devrine ilişkin bir ifade bulunmadığında, eser üzerindeki tüm haklar üreticide kalır. Bu durum işverenin çalışmayı kullanma veya değiştirme yetkisini kısıtlayabilir.</w:t>
      </w:r>
    </w:p>
    <w:p w14:paraId="1EEA95BC" w14:textId="77777777" w:rsidR="000F1714" w:rsidRPr="00BD7DD6" w:rsidRDefault="000F1714" w:rsidP="000F1714">
      <w:pPr>
        <w:pStyle w:val="ListeParagraf"/>
        <w:spacing w:after="0"/>
        <w:ind w:left="284"/>
        <w:jc w:val="both"/>
        <w:rPr>
          <w:rFonts w:ascii="Times New Roman" w:hAnsi="Times New Roman" w:cs="Times New Roman"/>
          <w:sz w:val="22"/>
          <w:szCs w:val="22"/>
        </w:rPr>
      </w:pPr>
    </w:p>
    <w:p w14:paraId="6F33A00A" w14:textId="77777777" w:rsidR="00BD7DD6" w:rsidRPr="000F1714" w:rsidRDefault="00BD7DD6"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Vergisel Yükümlülüklerin Belirlenmesi</w:t>
      </w:r>
    </w:p>
    <w:p w14:paraId="2A8FA109" w14:textId="77777777" w:rsidR="00BD7DD6" w:rsidRDefault="00BD7DD6" w:rsidP="000F1714">
      <w:pPr>
        <w:pStyle w:val="ListeParagraf"/>
        <w:spacing w:after="0"/>
        <w:ind w:left="284"/>
        <w:jc w:val="both"/>
        <w:rPr>
          <w:rFonts w:ascii="Times New Roman" w:hAnsi="Times New Roman" w:cs="Times New Roman"/>
          <w:sz w:val="22"/>
          <w:szCs w:val="22"/>
        </w:rPr>
      </w:pP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çalışmalar, Gelir Vergisi Kanunu bakımından serbest meslek faaliyeti olarak değerlendirilir. Vergilendirme, stopaj yöntemiyle yapılır ve bu durumda işveren vergi kesintisini beyan etmekle yükümlüdür. Çalışanın vergi mükellefiyeti varsa, serbest meslek makbuzu düzenlemesi gerekir. Vergisel sorumlulukların açıkça </w:t>
      </w:r>
      <w:proofErr w:type="gramStart"/>
      <w:r w:rsidRPr="00BD7DD6">
        <w:rPr>
          <w:rFonts w:ascii="Times New Roman" w:hAnsi="Times New Roman" w:cs="Times New Roman"/>
          <w:sz w:val="22"/>
          <w:szCs w:val="22"/>
        </w:rPr>
        <w:t>belirlenmemesi,</w:t>
      </w:r>
      <w:proofErr w:type="gramEnd"/>
      <w:r w:rsidRPr="00BD7DD6">
        <w:rPr>
          <w:rFonts w:ascii="Times New Roman" w:hAnsi="Times New Roman" w:cs="Times New Roman"/>
          <w:sz w:val="22"/>
          <w:szCs w:val="22"/>
        </w:rPr>
        <w:t xml:space="preserve"> hem çalışan hem işveren açısından cezai yaptırımlara yol açabilir. Bu nedenle ödeme süreciyle birlikte vergi kesintisi ve bildirim yükümlülüğü netleştirilmelidir.</w:t>
      </w:r>
    </w:p>
    <w:p w14:paraId="2BCFC338" w14:textId="77777777" w:rsidR="000F1714" w:rsidRPr="00BD7DD6" w:rsidRDefault="000F1714" w:rsidP="000F1714">
      <w:pPr>
        <w:pStyle w:val="ListeParagraf"/>
        <w:spacing w:after="0"/>
        <w:ind w:left="284"/>
        <w:jc w:val="both"/>
        <w:rPr>
          <w:rFonts w:ascii="Times New Roman" w:hAnsi="Times New Roman" w:cs="Times New Roman"/>
          <w:sz w:val="22"/>
          <w:szCs w:val="22"/>
        </w:rPr>
      </w:pPr>
    </w:p>
    <w:p w14:paraId="6321A46B" w14:textId="77777777" w:rsidR="00BD7DD6" w:rsidRPr="000F1714" w:rsidRDefault="00BD7DD6"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Gizlilik ve Rekabetin Korunması</w:t>
      </w:r>
    </w:p>
    <w:p w14:paraId="1CAD8805" w14:textId="77777777" w:rsidR="00BD7DD6" w:rsidRDefault="00BD7DD6" w:rsidP="000F1714">
      <w:pPr>
        <w:pStyle w:val="ListeParagraf"/>
        <w:spacing w:after="0"/>
        <w:ind w:left="284"/>
        <w:jc w:val="both"/>
        <w:rPr>
          <w:rFonts w:ascii="Times New Roman" w:hAnsi="Times New Roman" w:cs="Times New Roman"/>
          <w:sz w:val="22"/>
          <w:szCs w:val="22"/>
        </w:rPr>
      </w:pP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projelerde gizlilik hükümleri çoğu zaman göz ardı edilir. Oysa proje sürecinde elde edilen ticari bilgi, müşteri verisi veya stratejik </w:t>
      </w:r>
      <w:proofErr w:type="gramStart"/>
      <w:r w:rsidRPr="00BD7DD6">
        <w:rPr>
          <w:rFonts w:ascii="Times New Roman" w:hAnsi="Times New Roman" w:cs="Times New Roman"/>
          <w:sz w:val="22"/>
          <w:szCs w:val="22"/>
        </w:rPr>
        <w:t>dokümanların</w:t>
      </w:r>
      <w:proofErr w:type="gramEnd"/>
      <w:r w:rsidRPr="00BD7DD6">
        <w:rPr>
          <w:rFonts w:ascii="Times New Roman" w:hAnsi="Times New Roman" w:cs="Times New Roman"/>
          <w:sz w:val="22"/>
          <w:szCs w:val="22"/>
        </w:rPr>
        <w:t xml:space="preserve"> korunması hem etik hem hukuki bir zorunluluktur. Gizlilik maddesi, bilginin kimlerle paylaşılabileceğini ve ihlal hâlinde uygulanacak yaptırımları içermelidir. Ayrıca rekabet yasağı hükmü eklenmediğinde, çalışan aynı projeyi veya </w:t>
      </w:r>
      <w:r w:rsidRPr="00BD7DD6">
        <w:rPr>
          <w:rFonts w:ascii="Times New Roman" w:hAnsi="Times New Roman" w:cs="Times New Roman"/>
          <w:sz w:val="22"/>
          <w:szCs w:val="22"/>
        </w:rPr>
        <w:lastRenderedPageBreak/>
        <w:t>bilgiyi farklı bir müşteriyle paylaşabilir. Bu tür durumlar işveren açısından itibar ve güven kaybı doğurur.</w:t>
      </w:r>
    </w:p>
    <w:p w14:paraId="5A735328" w14:textId="77777777" w:rsidR="000F1714" w:rsidRPr="00BD7DD6" w:rsidRDefault="000F1714" w:rsidP="000F1714">
      <w:pPr>
        <w:pStyle w:val="ListeParagraf"/>
        <w:spacing w:after="0"/>
        <w:ind w:left="284"/>
        <w:jc w:val="both"/>
        <w:rPr>
          <w:rFonts w:ascii="Times New Roman" w:hAnsi="Times New Roman" w:cs="Times New Roman"/>
          <w:sz w:val="22"/>
          <w:szCs w:val="22"/>
        </w:rPr>
      </w:pPr>
    </w:p>
    <w:p w14:paraId="4847F7EA" w14:textId="77777777" w:rsidR="00BD7DD6" w:rsidRPr="000F1714" w:rsidRDefault="00BD7DD6"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İletişim ve Teslim Süreçlerinin Netleştirilmesi</w:t>
      </w:r>
    </w:p>
    <w:p w14:paraId="0BFEAC85" w14:textId="77777777" w:rsidR="00BD7DD6" w:rsidRPr="00BD7DD6" w:rsidRDefault="00BD7DD6" w:rsidP="000F1714">
      <w:pPr>
        <w:pStyle w:val="ListeParagraf"/>
        <w:spacing w:after="0"/>
        <w:ind w:left="284"/>
        <w:jc w:val="both"/>
        <w:rPr>
          <w:rFonts w:ascii="Times New Roman" w:hAnsi="Times New Roman" w:cs="Times New Roman"/>
          <w:sz w:val="22"/>
          <w:szCs w:val="22"/>
        </w:rPr>
      </w:pP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işlerde sık karşılaşılan anlaşmazlıklardan biri, teslim süreciyle ilgilidir. Taraflar işin kapsamı, teslim tarihi, revizyon hakkı ve ödeme planı konularında önceden mutabık kalmalıdır. Bu süreçler yazılı hale getirildiğinde, işin teknik ilerleyişi kadar hukuki çerçevesi de güvence altına alınır.</w:t>
      </w:r>
    </w:p>
    <w:p w14:paraId="442D1BFE" w14:textId="77777777" w:rsidR="00BD7DD6" w:rsidRPr="00BD7DD6" w:rsidRDefault="00BD7DD6" w:rsidP="000F1714">
      <w:pPr>
        <w:pStyle w:val="ListeParagraf"/>
        <w:spacing w:after="0"/>
        <w:ind w:left="284"/>
        <w:jc w:val="both"/>
        <w:rPr>
          <w:rFonts w:ascii="Times New Roman" w:hAnsi="Times New Roman" w:cs="Times New Roman"/>
          <w:sz w:val="22"/>
          <w:szCs w:val="22"/>
        </w:rPr>
      </w:pPr>
    </w:p>
    <w:p w14:paraId="1197C986" w14:textId="77777777" w:rsidR="00BD7DD6" w:rsidRPr="000F1714" w:rsidRDefault="00BD7DD6"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Değerlendirme</w:t>
      </w:r>
    </w:p>
    <w:p w14:paraId="0E79A0DA" w14:textId="071AE2E3" w:rsidR="00A402BD" w:rsidRDefault="00BD7DD6" w:rsidP="000F1714">
      <w:pPr>
        <w:pStyle w:val="ListeParagraf"/>
        <w:spacing w:after="0"/>
        <w:ind w:left="284"/>
        <w:jc w:val="both"/>
        <w:rPr>
          <w:rFonts w:ascii="Times New Roman" w:hAnsi="Times New Roman" w:cs="Times New Roman"/>
          <w:sz w:val="22"/>
          <w:szCs w:val="22"/>
        </w:rPr>
      </w:pPr>
      <w:proofErr w:type="spellStart"/>
      <w:r w:rsidRPr="00BD7DD6">
        <w:rPr>
          <w:rFonts w:ascii="Times New Roman" w:hAnsi="Times New Roman" w:cs="Times New Roman"/>
          <w:sz w:val="22"/>
          <w:szCs w:val="22"/>
        </w:rPr>
        <w:t>Freelance</w:t>
      </w:r>
      <w:proofErr w:type="spellEnd"/>
      <w:r w:rsidRPr="00BD7DD6">
        <w:rPr>
          <w:rFonts w:ascii="Times New Roman" w:hAnsi="Times New Roman" w:cs="Times New Roman"/>
          <w:sz w:val="22"/>
          <w:szCs w:val="22"/>
        </w:rPr>
        <w:t xml:space="preserve"> çalışma modeli, doğru yönetildiğinde hem esnek hem de verimli bir iş yapısı sağlar. Ancak hukuki sınırları belirsiz bırakmak, ileride telif, vergi veya tazminat kaynaklı uyuşmazlıklara neden olabilir. İşin türü, hak devri, vergisel yükümlülükler, gizlilik ve teslim koşulları net biçimde tanımlandığında, tarafların hakları korunur. Her iş birliği öncesinde hukuki danışmanlık alınması, uzun vadede güvenli ve sürdürülebilir bir iş ilişkisi kurmanın en etkili yoludur.</w:t>
      </w:r>
    </w:p>
    <w:p w14:paraId="08F4200F" w14:textId="77777777" w:rsidR="000F1714" w:rsidRDefault="000F1714" w:rsidP="000F1714">
      <w:pPr>
        <w:pStyle w:val="ListeParagraf"/>
        <w:spacing w:after="0"/>
        <w:ind w:left="284"/>
        <w:jc w:val="both"/>
        <w:rPr>
          <w:rFonts w:ascii="Times New Roman" w:hAnsi="Times New Roman" w:cs="Times New Roman"/>
          <w:sz w:val="22"/>
          <w:szCs w:val="22"/>
        </w:rPr>
      </w:pPr>
    </w:p>
    <w:p w14:paraId="78583549" w14:textId="77777777" w:rsidR="005F01B9" w:rsidRPr="0089015E" w:rsidRDefault="005F01B9" w:rsidP="00E879EA">
      <w:pPr>
        <w:spacing w:after="0"/>
        <w:jc w:val="both"/>
        <w:rPr>
          <w:rFonts w:ascii="Times New Roman" w:hAnsi="Times New Roman" w:cs="Times New Roman"/>
          <w:b/>
          <w:bCs/>
          <w:sz w:val="22"/>
          <w:szCs w:val="22"/>
        </w:rPr>
      </w:pPr>
    </w:p>
    <w:p w14:paraId="637A2A59" w14:textId="68FCB787" w:rsidR="000F1714" w:rsidRPr="0089015E" w:rsidRDefault="0089015E" w:rsidP="00E879EA">
      <w:pPr>
        <w:spacing w:after="0"/>
        <w:jc w:val="right"/>
        <w:rPr>
          <w:rFonts w:ascii="Times New Roman" w:hAnsi="Times New Roman" w:cs="Times New Roman"/>
          <w:b/>
          <w:bCs/>
          <w:sz w:val="22"/>
          <w:szCs w:val="22"/>
        </w:rPr>
      </w:pPr>
      <w:r w:rsidRPr="0089015E">
        <w:rPr>
          <w:rFonts w:ascii="Times New Roman" w:hAnsi="Times New Roman" w:cs="Times New Roman"/>
          <w:b/>
          <w:bCs/>
          <w:sz w:val="22"/>
          <w:szCs w:val="22"/>
        </w:rPr>
        <w:t>EKİM 2025</w:t>
      </w:r>
    </w:p>
    <w:p w14:paraId="6B9A0AE8" w14:textId="77777777"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HİZMET SÖZLEŞMESİ İLE İŞ SÖZLEŞMESİ ARASINDAKİ FARK NEDİR?</w:t>
      </w:r>
    </w:p>
    <w:p w14:paraId="6839363C" w14:textId="77777777" w:rsidR="00A402BD" w:rsidRDefault="00A402BD" w:rsidP="000F1714">
      <w:pPr>
        <w:pStyle w:val="ListeParagraf"/>
        <w:spacing w:after="0"/>
        <w:ind w:left="284"/>
        <w:jc w:val="both"/>
        <w:rPr>
          <w:rFonts w:ascii="Times New Roman" w:hAnsi="Times New Roman" w:cs="Times New Roman"/>
          <w:sz w:val="22"/>
          <w:szCs w:val="22"/>
        </w:rPr>
      </w:pPr>
    </w:p>
    <w:p w14:paraId="79CBE655" w14:textId="0A037F4C" w:rsidR="000F1714" w:rsidRPr="000F1714"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Çalışma hayatında işçi ve işveren arasındaki ilişkiyi düzenleyen sözleşmeler farklı kanunlarda tanımlanır.</w:t>
      </w:r>
    </w:p>
    <w:p w14:paraId="08ED1B59" w14:textId="50D704BE" w:rsidR="000F1714" w:rsidRPr="000F1714"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Bu noktada en çok karıştırılan kavramlar hizmet sözleşmesi ve iş sözleşmesidir.</w:t>
      </w:r>
    </w:p>
    <w:p w14:paraId="35A2E4FF" w14:textId="7777777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İkisi benzer yönler taşısa da dayandıkları mevzuat ve sağladıkları koruma alanı bakımından önemli farklılıklar bulunur.</w:t>
      </w:r>
    </w:p>
    <w:p w14:paraId="0615E31B" w14:textId="77777777" w:rsidR="000F1714" w:rsidRPr="000F1714" w:rsidRDefault="000F1714" w:rsidP="000F1714">
      <w:pPr>
        <w:pStyle w:val="ListeParagraf"/>
        <w:spacing w:after="0"/>
        <w:ind w:left="284"/>
        <w:jc w:val="both"/>
        <w:rPr>
          <w:rFonts w:ascii="Times New Roman" w:hAnsi="Times New Roman" w:cs="Times New Roman"/>
          <w:b/>
          <w:bCs/>
          <w:sz w:val="22"/>
          <w:szCs w:val="22"/>
        </w:rPr>
      </w:pPr>
    </w:p>
    <w:p w14:paraId="4537E6A6" w14:textId="77777777" w:rsidR="00A402BD" w:rsidRPr="000F1714" w:rsidRDefault="00A402BD"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Hukuki Çerçeve</w:t>
      </w:r>
    </w:p>
    <w:p w14:paraId="0C984A3F" w14:textId="7777777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 xml:space="preserve">Türk Borçlar Kanunu’nun 393. maddesinde hizmet sözleşmesi, işçinin işverene bağımlı olarak belirli veya belirli olmayan süreyle </w:t>
      </w:r>
      <w:proofErr w:type="spellStart"/>
      <w:r w:rsidRPr="00A402BD">
        <w:rPr>
          <w:rFonts w:ascii="Times New Roman" w:hAnsi="Times New Roman" w:cs="Times New Roman"/>
          <w:sz w:val="22"/>
          <w:szCs w:val="22"/>
        </w:rPr>
        <w:t>işgörmeyi</w:t>
      </w:r>
      <w:proofErr w:type="spellEnd"/>
      <w:r w:rsidRPr="00A402BD">
        <w:rPr>
          <w:rFonts w:ascii="Times New Roman" w:hAnsi="Times New Roman" w:cs="Times New Roman"/>
          <w:sz w:val="22"/>
          <w:szCs w:val="22"/>
        </w:rPr>
        <w:t xml:space="preserve"> ve işverenin de ona zamana veya yapılan işe göre ücret ödemeyi üstlendiği sözleşmedir.</w:t>
      </w:r>
    </w:p>
    <w:p w14:paraId="3A86B218" w14:textId="77777777" w:rsidR="000F1714" w:rsidRPr="00A402BD" w:rsidRDefault="000F1714" w:rsidP="000F1714">
      <w:pPr>
        <w:pStyle w:val="ListeParagraf"/>
        <w:spacing w:after="0"/>
        <w:ind w:left="284"/>
        <w:jc w:val="both"/>
        <w:rPr>
          <w:rFonts w:ascii="Times New Roman" w:hAnsi="Times New Roman" w:cs="Times New Roman"/>
          <w:sz w:val="22"/>
          <w:szCs w:val="22"/>
        </w:rPr>
      </w:pPr>
    </w:p>
    <w:p w14:paraId="4965017E" w14:textId="77777777" w:rsidR="00A402BD" w:rsidRP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Bu hüküm, İş Kanunu kapsamına girmeyen iş ilişkilerini de düzenleyen genel bir çerçevedir.</w:t>
      </w:r>
    </w:p>
    <w:p w14:paraId="42F717DD" w14:textId="7777777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4857 sayılı İş Kanunu’nun 8. maddesi ise iş sözleşmesini, bir tarafın bağımlı iş görmeyi, diğer tarafın da ücret ödemeyi üstlendiği sözleşme olarak tanımlar.</w:t>
      </w:r>
    </w:p>
    <w:p w14:paraId="15CE7921" w14:textId="77777777" w:rsidR="000F1714" w:rsidRPr="00A402BD" w:rsidRDefault="000F1714" w:rsidP="000F1714">
      <w:pPr>
        <w:pStyle w:val="ListeParagraf"/>
        <w:spacing w:after="0"/>
        <w:ind w:left="284"/>
        <w:jc w:val="both"/>
        <w:rPr>
          <w:rFonts w:ascii="Times New Roman" w:hAnsi="Times New Roman" w:cs="Times New Roman"/>
          <w:sz w:val="22"/>
          <w:szCs w:val="22"/>
        </w:rPr>
      </w:pPr>
    </w:p>
    <w:p w14:paraId="1C5B5201" w14:textId="7777777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Bu hüküm yalnız İş Kanunu kapsamındaki işçiler için geçerlidir. Dolayısıyla iş sözleşmesi, hizmet sözleşmesinin özel bir türü konumundadır.</w:t>
      </w:r>
    </w:p>
    <w:p w14:paraId="68124F63" w14:textId="77777777" w:rsidR="000F1714" w:rsidRPr="00A402BD" w:rsidRDefault="000F1714" w:rsidP="000F1714">
      <w:pPr>
        <w:pStyle w:val="ListeParagraf"/>
        <w:spacing w:after="0"/>
        <w:ind w:left="284"/>
        <w:jc w:val="both"/>
        <w:rPr>
          <w:rFonts w:ascii="Times New Roman" w:hAnsi="Times New Roman" w:cs="Times New Roman"/>
          <w:sz w:val="22"/>
          <w:szCs w:val="22"/>
        </w:rPr>
      </w:pPr>
    </w:p>
    <w:p w14:paraId="7665A63C" w14:textId="77777777" w:rsidR="00A402BD" w:rsidRPr="000F1714" w:rsidRDefault="00A402BD" w:rsidP="000F1714">
      <w:pPr>
        <w:pStyle w:val="ListeParagraf"/>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Uygulama ve Koruma Alanı</w:t>
      </w:r>
    </w:p>
    <w:p w14:paraId="34A73CA4" w14:textId="7777777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Hizmet sözleşmesi, İş Kanunu dışında kalan çalışma ilişkilerinde uygulanır.</w:t>
      </w:r>
    </w:p>
    <w:p w14:paraId="3ECFC903" w14:textId="77777777" w:rsidR="000F1714" w:rsidRPr="00A402BD" w:rsidRDefault="000F1714" w:rsidP="000F1714">
      <w:pPr>
        <w:pStyle w:val="ListeParagraf"/>
        <w:spacing w:after="0"/>
        <w:ind w:left="284"/>
        <w:jc w:val="both"/>
        <w:rPr>
          <w:rFonts w:ascii="Times New Roman" w:hAnsi="Times New Roman" w:cs="Times New Roman"/>
          <w:sz w:val="22"/>
          <w:szCs w:val="22"/>
        </w:rPr>
      </w:pPr>
    </w:p>
    <w:p w14:paraId="6D4251D0" w14:textId="5056381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Örneğin, bağımsız bir danışmanlık firması ile müşteri arasında yapılan anlaşmalar, hizmet sözleşmesi niteliği taşır.</w:t>
      </w:r>
      <w:r w:rsidR="000F1714">
        <w:rPr>
          <w:rFonts w:ascii="Times New Roman" w:hAnsi="Times New Roman" w:cs="Times New Roman"/>
          <w:sz w:val="22"/>
          <w:szCs w:val="22"/>
        </w:rPr>
        <w:t xml:space="preserve"> </w:t>
      </w:r>
      <w:r w:rsidRPr="000F1714">
        <w:rPr>
          <w:rFonts w:ascii="Times New Roman" w:hAnsi="Times New Roman" w:cs="Times New Roman"/>
          <w:sz w:val="22"/>
          <w:szCs w:val="22"/>
        </w:rPr>
        <w:t>Bu sözleşmelerde işçi-işveren ilişkisi kurulmadığından iş güvencesi, yıllık izin ya da fazla mesai gibi haklar söz konusu olmaz.</w:t>
      </w:r>
      <w:r w:rsidR="000F1714">
        <w:rPr>
          <w:rFonts w:ascii="Times New Roman" w:hAnsi="Times New Roman" w:cs="Times New Roman"/>
          <w:sz w:val="22"/>
          <w:szCs w:val="22"/>
        </w:rPr>
        <w:t xml:space="preserve"> </w:t>
      </w:r>
      <w:r w:rsidRPr="000F1714">
        <w:rPr>
          <w:rFonts w:ascii="Times New Roman" w:hAnsi="Times New Roman" w:cs="Times New Roman"/>
          <w:sz w:val="22"/>
          <w:szCs w:val="22"/>
        </w:rPr>
        <w:t>İş sözleşmesi ise İş Kanunu kapsamındaki tüm işçiler için geçerlidir.</w:t>
      </w:r>
    </w:p>
    <w:p w14:paraId="3BCD2B8C" w14:textId="77777777" w:rsidR="000F1714" w:rsidRPr="000F1714" w:rsidRDefault="000F1714" w:rsidP="000F1714">
      <w:pPr>
        <w:pStyle w:val="ListeParagraf"/>
        <w:spacing w:after="0"/>
        <w:ind w:left="284"/>
        <w:jc w:val="both"/>
        <w:rPr>
          <w:rFonts w:ascii="Times New Roman" w:hAnsi="Times New Roman" w:cs="Times New Roman"/>
          <w:sz w:val="22"/>
          <w:szCs w:val="22"/>
        </w:rPr>
      </w:pPr>
    </w:p>
    <w:p w14:paraId="24498476" w14:textId="7777777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lastRenderedPageBreak/>
        <w:t>Bu nedenle yıllık ücretli izin, fazla mesai, iş güvencesi ve iş sağlığı güvenliği gibi detaylı korumalar içerir.</w:t>
      </w:r>
    </w:p>
    <w:p w14:paraId="5FD032A2" w14:textId="77777777" w:rsidR="000F1714" w:rsidRPr="00A402BD" w:rsidRDefault="000F1714" w:rsidP="000F1714">
      <w:pPr>
        <w:pStyle w:val="ListeParagraf"/>
        <w:spacing w:after="0"/>
        <w:ind w:left="284"/>
        <w:jc w:val="both"/>
        <w:rPr>
          <w:rFonts w:ascii="Times New Roman" w:hAnsi="Times New Roman" w:cs="Times New Roman"/>
          <w:sz w:val="22"/>
          <w:szCs w:val="22"/>
        </w:rPr>
      </w:pPr>
    </w:p>
    <w:p w14:paraId="336B6BEC" w14:textId="77777777" w:rsidR="00A402BD"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İş sözleşmesi, hizmet sözleşmesine kıyasla işçiyi daha geniş bir güvence altına alır.</w:t>
      </w:r>
    </w:p>
    <w:p w14:paraId="7A6F71D9" w14:textId="77777777" w:rsidR="000F1714" w:rsidRPr="00A402BD" w:rsidRDefault="000F1714" w:rsidP="000F1714">
      <w:pPr>
        <w:pStyle w:val="ListeParagraf"/>
        <w:spacing w:after="0"/>
        <w:ind w:left="284"/>
        <w:jc w:val="both"/>
        <w:rPr>
          <w:rFonts w:ascii="Times New Roman" w:hAnsi="Times New Roman" w:cs="Times New Roman"/>
          <w:sz w:val="22"/>
          <w:szCs w:val="22"/>
        </w:rPr>
      </w:pPr>
    </w:p>
    <w:p w14:paraId="0D494813" w14:textId="61220D1B" w:rsidR="00A402BD" w:rsidRPr="000F1714" w:rsidRDefault="00A402BD" w:rsidP="000F1714">
      <w:pPr>
        <w:pStyle w:val="ListeParagraf"/>
        <w:spacing w:after="0"/>
        <w:ind w:left="284"/>
        <w:jc w:val="both"/>
        <w:rPr>
          <w:rFonts w:ascii="Times New Roman" w:hAnsi="Times New Roman" w:cs="Times New Roman"/>
          <w:sz w:val="22"/>
          <w:szCs w:val="22"/>
        </w:rPr>
      </w:pPr>
      <w:r w:rsidRPr="00A402BD">
        <w:rPr>
          <w:rFonts w:ascii="Times New Roman" w:hAnsi="Times New Roman" w:cs="Times New Roman"/>
          <w:sz w:val="22"/>
          <w:szCs w:val="22"/>
        </w:rPr>
        <w:t xml:space="preserve">Hizmet sözleşmesi ile iş sözleşmesi arasındaki sınırların </w:t>
      </w:r>
      <w:proofErr w:type="gramStart"/>
      <w:r w:rsidRPr="00A402BD">
        <w:rPr>
          <w:rFonts w:ascii="Times New Roman" w:hAnsi="Times New Roman" w:cs="Times New Roman"/>
          <w:sz w:val="22"/>
          <w:szCs w:val="22"/>
        </w:rPr>
        <w:t>netleştirilmesi,</w:t>
      </w:r>
      <w:proofErr w:type="gramEnd"/>
      <w:r w:rsidRPr="00A402BD">
        <w:rPr>
          <w:rFonts w:ascii="Times New Roman" w:hAnsi="Times New Roman" w:cs="Times New Roman"/>
          <w:sz w:val="22"/>
          <w:szCs w:val="22"/>
        </w:rPr>
        <w:t xml:space="preserve"> hem iş dünyasında hem de hukuki uyuşmazlıkların çözümünde belirsizlikleri önler.</w:t>
      </w:r>
      <w:r w:rsidR="000F1714">
        <w:rPr>
          <w:rFonts w:ascii="Times New Roman" w:hAnsi="Times New Roman" w:cs="Times New Roman"/>
          <w:sz w:val="22"/>
          <w:szCs w:val="22"/>
        </w:rPr>
        <w:t xml:space="preserve"> </w:t>
      </w:r>
      <w:r w:rsidRPr="000F1714">
        <w:rPr>
          <w:rFonts w:ascii="Times New Roman" w:hAnsi="Times New Roman" w:cs="Times New Roman"/>
          <w:sz w:val="22"/>
          <w:szCs w:val="22"/>
        </w:rPr>
        <w:t>Doğru sözleşme türünün tercih edilmesi, tarafların ilişkisini daha öngörülebilir kılar ve olası anlaşmazlıkların baştan engellenmesini sağlar.</w:t>
      </w:r>
    </w:p>
    <w:p w14:paraId="7E9F85E4" w14:textId="77777777" w:rsidR="00A402BD" w:rsidRDefault="00A402BD" w:rsidP="000F1714">
      <w:pPr>
        <w:pStyle w:val="ListeParagraf"/>
        <w:spacing w:after="0"/>
        <w:ind w:left="284"/>
        <w:jc w:val="both"/>
        <w:rPr>
          <w:rFonts w:ascii="Times New Roman" w:hAnsi="Times New Roman" w:cs="Times New Roman"/>
          <w:sz w:val="22"/>
          <w:szCs w:val="22"/>
        </w:rPr>
      </w:pPr>
    </w:p>
    <w:p w14:paraId="65CC9E9E" w14:textId="77777777" w:rsidR="00A402BD" w:rsidRDefault="00A402BD" w:rsidP="000F1714">
      <w:pPr>
        <w:pStyle w:val="ListeParagraf"/>
        <w:spacing w:after="0"/>
        <w:ind w:left="284"/>
        <w:jc w:val="both"/>
        <w:rPr>
          <w:rFonts w:ascii="Times New Roman" w:hAnsi="Times New Roman" w:cs="Times New Roman"/>
          <w:sz w:val="22"/>
          <w:szCs w:val="22"/>
        </w:rPr>
      </w:pPr>
    </w:p>
    <w:p w14:paraId="11A99DC8" w14:textId="77777777" w:rsidR="000F1714" w:rsidRDefault="000F1714" w:rsidP="000F1714">
      <w:pPr>
        <w:pStyle w:val="ListeParagraf"/>
        <w:spacing w:after="0"/>
        <w:ind w:left="284"/>
        <w:jc w:val="both"/>
        <w:rPr>
          <w:rFonts w:ascii="Times New Roman" w:hAnsi="Times New Roman" w:cs="Times New Roman"/>
          <w:sz w:val="22"/>
          <w:szCs w:val="22"/>
        </w:rPr>
      </w:pPr>
    </w:p>
    <w:p w14:paraId="45A60E48" w14:textId="4E368F3E" w:rsidR="000F1714" w:rsidRPr="0089015E" w:rsidRDefault="0089015E" w:rsidP="0089015E">
      <w:pPr>
        <w:spacing w:after="0"/>
        <w:jc w:val="right"/>
        <w:rPr>
          <w:rFonts w:ascii="Times New Roman" w:hAnsi="Times New Roman" w:cs="Times New Roman"/>
          <w:sz w:val="22"/>
          <w:szCs w:val="22"/>
        </w:rPr>
      </w:pPr>
      <w:r w:rsidRPr="000F1714">
        <w:rPr>
          <w:rFonts w:ascii="Times New Roman" w:hAnsi="Times New Roman" w:cs="Times New Roman"/>
          <w:b/>
          <w:bCs/>
          <w:sz w:val="22"/>
          <w:szCs w:val="22"/>
        </w:rPr>
        <w:t>10 NİSAN 2026</w:t>
      </w:r>
    </w:p>
    <w:p w14:paraId="0FA1534E" w14:textId="1E22115F" w:rsidR="00CE4199" w:rsidRPr="000F1714" w:rsidRDefault="00CE4199" w:rsidP="000F1714">
      <w:pPr>
        <w:pStyle w:val="ListeParagraf"/>
        <w:numPr>
          <w:ilvl w:val="0"/>
          <w:numId w:val="5"/>
        </w:numPr>
        <w:spacing w:after="0"/>
        <w:ind w:left="284"/>
        <w:jc w:val="both"/>
        <w:rPr>
          <w:rFonts w:ascii="Times New Roman" w:hAnsi="Times New Roman" w:cs="Times New Roman"/>
          <w:b/>
          <w:bCs/>
          <w:sz w:val="22"/>
          <w:szCs w:val="22"/>
        </w:rPr>
      </w:pPr>
      <w:r w:rsidRPr="000F1714">
        <w:rPr>
          <w:rFonts w:ascii="Times New Roman" w:hAnsi="Times New Roman" w:cs="Times New Roman"/>
          <w:b/>
          <w:bCs/>
          <w:sz w:val="22"/>
          <w:szCs w:val="22"/>
        </w:rPr>
        <w:t>İŞVEREN KILAVUZU SERİSİ #2 PERFORMANS DÜŞÜKLÜĞÜ NEDENİYLE FESİH: HUKUKEN MÜMKÜN MÜ?</w:t>
      </w:r>
      <w:r w:rsidR="000F1714" w:rsidRPr="000F1714">
        <w:rPr>
          <w:rFonts w:ascii="Times New Roman" w:hAnsi="Times New Roman" w:cs="Times New Roman"/>
          <w:b/>
          <w:bCs/>
          <w:sz w:val="22"/>
          <w:szCs w:val="22"/>
        </w:rPr>
        <w:t xml:space="preserve"> </w:t>
      </w:r>
    </w:p>
    <w:p w14:paraId="7BBD0CCE" w14:textId="77777777" w:rsidR="009766A0" w:rsidRPr="00B62FC4" w:rsidRDefault="009766A0" w:rsidP="000F1714">
      <w:pPr>
        <w:pStyle w:val="ListeParagraf"/>
        <w:spacing w:after="0"/>
        <w:ind w:left="0"/>
        <w:jc w:val="both"/>
        <w:rPr>
          <w:rFonts w:ascii="Times New Roman" w:hAnsi="Times New Roman" w:cs="Times New Roman"/>
          <w:sz w:val="22"/>
          <w:szCs w:val="22"/>
        </w:rPr>
      </w:pPr>
    </w:p>
    <w:p w14:paraId="70C775DD"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sz w:val="22"/>
          <w:szCs w:val="22"/>
        </w:rPr>
        <w:t xml:space="preserve">4857 sayılı İş Kanunu (“İş Kanunu”) uyarınca, iş güvencesi hükümlerine tabi işçiler bakımından belirsiz süreli iş sözleşmesinin feshi, geçerli bir sebebe dayanmak zorundadır (İş Kanunu m. 18). Bu kapsamda işçinin yeterliliğinden kaynaklanan nedenler de kanunda açıkça düzenlenmiştir. Uygulamada performans düşüklüğü, çoğu zaman işveren tarafından fesih için yeterli bir gerekçe olarak değerlendirilse de yerleşik Yargıtay içtihatları uyarınca tek başına düşük performans iddiası, objektif kriterlerle desteklenmediği sürece geçerli fesih sebebi olarak kabul edilmemektedir. Özellikle performans kriterlerinin önceden belirlenmemesi, ölçüm sisteminin açık olmaması veya çalışana kendisini geliştirme imkânı tanınmaması halinde, fesih işlemi sonradan </w:t>
      </w:r>
      <w:r w:rsidRPr="00132E76">
        <w:rPr>
          <w:rFonts w:ascii="Times New Roman" w:hAnsi="Times New Roman" w:cs="Times New Roman"/>
          <w:b/>
          <w:bCs/>
          <w:sz w:val="22"/>
          <w:szCs w:val="22"/>
        </w:rPr>
        <w:t>geçersiz fesih</w:t>
      </w:r>
      <w:r w:rsidRPr="00132E76">
        <w:rPr>
          <w:rFonts w:ascii="Times New Roman" w:hAnsi="Times New Roman" w:cs="Times New Roman"/>
          <w:sz w:val="22"/>
          <w:szCs w:val="22"/>
        </w:rPr>
        <w:t xml:space="preserve"> olarak nitelendirilebilir. Bu nedenle performans düşüklüğüne dayalı fesihlerde, yalnızca sonuç değil, sürecin nasıl yönetildiği de belirleyici hale gelir. İş Kanunu’nun 18. maddesi işçinin yeterliliğinden kaynaklanan nedenleri geçerli fesih sebebi kapsamında düzenlemekte, 19. maddesi ise fesih bildiriminin yazılı yapılmasını ve sebebin açık ve kesin şekilde gösterilmesini aramaktadır. Ayrıca 20. madde uyarınca, fesihte geçerli sebebin varlığını ispat yükü işverene aittir.</w:t>
      </w:r>
    </w:p>
    <w:p w14:paraId="2F0191B4"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sz w:val="22"/>
          <w:szCs w:val="22"/>
        </w:rPr>
        <w:t>En yaygın hukuki riskleri aşağıda sıraladık:</w:t>
      </w:r>
    </w:p>
    <w:p w14:paraId="6A3F67F3"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b/>
          <w:bCs/>
          <w:sz w:val="22"/>
          <w:szCs w:val="22"/>
        </w:rPr>
        <w:t>· Objektif performans kriteri eksikliği:</w:t>
      </w:r>
      <w:r w:rsidRPr="00132E76">
        <w:rPr>
          <w:rFonts w:ascii="Times New Roman" w:hAnsi="Times New Roman" w:cs="Times New Roman"/>
          <w:sz w:val="22"/>
          <w:szCs w:val="22"/>
        </w:rPr>
        <w:t xml:space="preserve"> Bir çalışanın performansının düşük olduğu ileri sürülüyorsa, bunun kişisel kanaatle değil, işin niteliğine uygun, ölçülebilir ve önceden belirlenmiş ölçütlerle ortaya konulması gerekir. Hedeflerin, görev tanımının ve değerlendirme esaslarının açık olmaması, feshi tartışmalı hale getirir.</w:t>
      </w:r>
    </w:p>
    <w:p w14:paraId="1D83D302"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b/>
          <w:bCs/>
          <w:sz w:val="22"/>
          <w:szCs w:val="22"/>
        </w:rPr>
        <w:t>· Süreklilik göstermeyen performans sorunu:</w:t>
      </w:r>
      <w:r w:rsidRPr="00132E76">
        <w:rPr>
          <w:rFonts w:ascii="Times New Roman" w:hAnsi="Times New Roman" w:cs="Times New Roman"/>
          <w:sz w:val="22"/>
          <w:szCs w:val="22"/>
        </w:rPr>
        <w:t xml:space="preserve"> Yargıtay içtihatlarında tek seferlik hata, kısa dönemli verim düşüşü veya geçici aksaklıklar çoğu durumda performans düşüklüğüne dayalı fesih için yeterli kabul edilmez. Performans yetersizliğinin süreklilik arz etmesi ve işin görülmesini olumsuz etkileyecek ağırlıkta olması aranır.</w:t>
      </w:r>
    </w:p>
    <w:p w14:paraId="6542C59F"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b/>
          <w:bCs/>
          <w:sz w:val="22"/>
          <w:szCs w:val="22"/>
        </w:rPr>
        <w:t>· Yazılı kayıt ve değerlendirme eksikliği:</w:t>
      </w:r>
      <w:r w:rsidRPr="00132E76">
        <w:rPr>
          <w:rFonts w:ascii="Times New Roman" w:hAnsi="Times New Roman" w:cs="Times New Roman"/>
          <w:sz w:val="22"/>
          <w:szCs w:val="22"/>
        </w:rPr>
        <w:t xml:space="preserve"> Performans görüşmeleri, uyarılar, gelişim planları ve ara değerlendirmeler kayıt altına alınmadığında, işveren fesih sebebini sonradan ispat etmekte zorlanabilir. İspat yükünün işverene ait olması (İş Kanunu m. 20) nedeniyle, belgelendirme eksikliği uygulamada en kritik risklerden biridir.</w:t>
      </w:r>
    </w:p>
    <w:p w14:paraId="4DA4530E"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b/>
          <w:bCs/>
          <w:sz w:val="22"/>
          <w:szCs w:val="22"/>
        </w:rPr>
        <w:t>· İyileştirme fırsatı tanınmaması:</w:t>
      </w:r>
      <w:r w:rsidRPr="00132E76">
        <w:rPr>
          <w:rFonts w:ascii="Times New Roman" w:hAnsi="Times New Roman" w:cs="Times New Roman"/>
          <w:sz w:val="22"/>
          <w:szCs w:val="22"/>
        </w:rPr>
        <w:t xml:space="preserve"> Çalışana eksik görülen alanların bildirilmemesi, makul süre verilmemesi veya gerekli eğitim/destek mekanizmalarının sağlanmaması feshi ölçülülük ve son çare (</w:t>
      </w:r>
      <w:proofErr w:type="spellStart"/>
      <w:r w:rsidRPr="00132E76">
        <w:rPr>
          <w:rFonts w:ascii="Times New Roman" w:hAnsi="Times New Roman" w:cs="Times New Roman"/>
          <w:sz w:val="22"/>
          <w:szCs w:val="22"/>
        </w:rPr>
        <w:t>ultima</w:t>
      </w:r>
      <w:proofErr w:type="spellEnd"/>
      <w:r w:rsidRPr="00132E76">
        <w:rPr>
          <w:rFonts w:ascii="Times New Roman" w:hAnsi="Times New Roman" w:cs="Times New Roman"/>
          <w:sz w:val="22"/>
          <w:szCs w:val="22"/>
        </w:rPr>
        <w:t xml:space="preserve"> </w:t>
      </w:r>
      <w:proofErr w:type="spellStart"/>
      <w:r w:rsidRPr="00132E76">
        <w:rPr>
          <w:rFonts w:ascii="Times New Roman" w:hAnsi="Times New Roman" w:cs="Times New Roman"/>
          <w:sz w:val="22"/>
          <w:szCs w:val="22"/>
        </w:rPr>
        <w:t>ratio</w:t>
      </w:r>
      <w:proofErr w:type="spellEnd"/>
      <w:r w:rsidRPr="00132E76">
        <w:rPr>
          <w:rFonts w:ascii="Times New Roman" w:hAnsi="Times New Roman" w:cs="Times New Roman"/>
          <w:sz w:val="22"/>
          <w:szCs w:val="22"/>
        </w:rPr>
        <w:t xml:space="preserve">) ilkesi bakımından hukuka aykırı hale getirebilir. Özellikle eğitim, görev netleştirmesi veya </w:t>
      </w:r>
      <w:r w:rsidRPr="00132E76">
        <w:rPr>
          <w:rFonts w:ascii="Times New Roman" w:hAnsi="Times New Roman" w:cs="Times New Roman"/>
          <w:sz w:val="22"/>
          <w:szCs w:val="22"/>
        </w:rPr>
        <w:lastRenderedPageBreak/>
        <w:t>geri bildirimle giderilebilecek sorunlarda doğrudan feshe gidilmesi risk yaratır. Fesih, başvurulabilecek en son çare olarak değerlendirilmelidir.</w:t>
      </w:r>
    </w:p>
    <w:p w14:paraId="34132850"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sz w:val="22"/>
          <w:szCs w:val="22"/>
        </w:rPr>
        <w:t xml:space="preserve">· </w:t>
      </w:r>
      <w:r w:rsidRPr="00132E76">
        <w:rPr>
          <w:rFonts w:ascii="Times New Roman" w:hAnsi="Times New Roman" w:cs="Times New Roman"/>
          <w:b/>
          <w:bCs/>
          <w:sz w:val="22"/>
          <w:szCs w:val="22"/>
        </w:rPr>
        <w:t>Fesih bildiriminin yetersizliği:</w:t>
      </w:r>
      <w:r w:rsidRPr="00132E76">
        <w:rPr>
          <w:rFonts w:ascii="Times New Roman" w:hAnsi="Times New Roman" w:cs="Times New Roman"/>
          <w:sz w:val="22"/>
          <w:szCs w:val="22"/>
        </w:rPr>
        <w:t xml:space="preserve"> İş Kanunu madde 19 uyarınca fesih bildiriminin yazılı yapılması ve sebebin açık şekilde belirtilmesi gerekir. Genel ifadelerle yapılan bildirimler, dava halinde işveren aleyhine sonuç doğurabilir. İş Kanunu’nun 20. maddesi uyarınca da geçerli sebebe dayandığını ispat yükü işverene aittir. Soyut ve genel ifadeler içeren fesih bildirimleri, yargılamada işveren aleyhine sonuç doğurabilir. Fesih gerekçesinin somut olay ve performans verileriyle ilişkilendirilmesi gerekir.</w:t>
      </w:r>
    </w:p>
    <w:p w14:paraId="5DFE51F0"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sz w:val="22"/>
          <w:szCs w:val="22"/>
        </w:rPr>
        <w:t>Bu tür eksiklikler sonucunda işveren, işe iade davası, boşta geçen süre ücreti, işe başlatmama tazminatı ve diğer işçilik alacakları bakımından önemli bir mali riskle karşılaşabilir. Özellikle performans değerlendirme sisteminin kurumsal şekilde işlememesi, mahkeme önünde fesih gerekçesinin zayıflamasına neden olur. Bu nedenle performans düşüklüğüne dayalı fesihlerde asıl mesele, yalnızca çalışanın beklenen seviyeyi karşılayamaması değil, işverenin bu durumu hangi yöntemle tespit ettiği ve hangi aşamalardan sonra feshe yöneldiğidir.</w:t>
      </w:r>
    </w:p>
    <w:p w14:paraId="009A4BF8"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sz w:val="22"/>
          <w:szCs w:val="22"/>
        </w:rPr>
        <w:t>Performans Takibi ve Çalışma Düzeni başlığı da bu noktada önem taşımaktadır. Son yıllarda hibrit ve uzaktan çalışma modellerinin yaygınlaşmasıyla birlikte performansın nasıl ölçüleceği ayrı bir tartışma alanı haline gelmiştir. Mevcut görev tanımının belirsiz olduğu, raporlama yöntemlerinin netleşmediği veya iş sonuçlarının hangi ölçütlerle değerlendirileceğinin belirlenmediği yapılarda, performans düşüklüğüne dayalı fesih daha da tartışmalı hale gelir. Bu nedenle işverenin çalışma biçimine uygun performans kriterleri oluşturması, çalışanı bu kriterler hakkında bilgilendirmesi ve değerlendirme sürecini şeffaf biçimde yürütmesi gerekir. Aksi halde fesih, objektif bir performans değerlendirmesinden çok, soyut bir memnuniyetsizlik gerekçesi gibi algılanabilir.</w:t>
      </w:r>
    </w:p>
    <w:p w14:paraId="3A610C29" w14:textId="77777777" w:rsidR="00132E76" w:rsidRPr="00132E76" w:rsidRDefault="00132E76" w:rsidP="000F1714">
      <w:pPr>
        <w:jc w:val="both"/>
        <w:rPr>
          <w:rFonts w:ascii="Times New Roman" w:hAnsi="Times New Roman" w:cs="Times New Roman"/>
          <w:sz w:val="22"/>
          <w:szCs w:val="22"/>
        </w:rPr>
      </w:pPr>
      <w:r w:rsidRPr="00132E76">
        <w:rPr>
          <w:rFonts w:ascii="Times New Roman" w:hAnsi="Times New Roman" w:cs="Times New Roman"/>
          <w:sz w:val="22"/>
          <w:szCs w:val="22"/>
        </w:rPr>
        <w:t xml:space="preserve">Sonuç olarak, performans düşüklüğü nedeniyle fesih Türk Hukuku uyarınca geçerli nedenle fesih sebeplerinden biridir. Ancak işverene tanınan bu </w:t>
      </w:r>
      <w:proofErr w:type="gramStart"/>
      <w:r w:rsidRPr="00132E76">
        <w:rPr>
          <w:rFonts w:ascii="Times New Roman" w:hAnsi="Times New Roman" w:cs="Times New Roman"/>
          <w:sz w:val="22"/>
          <w:szCs w:val="22"/>
        </w:rPr>
        <w:t>imkan</w:t>
      </w:r>
      <w:proofErr w:type="gramEnd"/>
      <w:r w:rsidRPr="00132E76">
        <w:rPr>
          <w:rFonts w:ascii="Times New Roman" w:hAnsi="Times New Roman" w:cs="Times New Roman"/>
          <w:sz w:val="22"/>
          <w:szCs w:val="22"/>
        </w:rPr>
        <w:t xml:space="preserve"> sınırsız bir taktir yetkisi doğurmaz. Ölçülemeyen, belgelenmeyen ve çalışana açık şekilde bildirilmeyen performans sorunları, çoğu durumda geçerli fesih sebebi olarak kabul edilmez. Kurumsal riski azaltmak için işverenlerin performans yönetimi sistemlerini güncel mevzuat ve yargı yaklaşımı doğrultusunda gözden geçirmesi, süreci baştan sona yazılı ve tutarlı şekilde yürütmesi önemlidir. Aksi halde performans gerekçesiyle yapılan fesih, geçersiz fesih sonucu doğurarak işveren açısından beklenenden daha ağır hukuki sonuçlar doğurabilir.</w:t>
      </w:r>
    </w:p>
    <w:p w14:paraId="641F05E2" w14:textId="77777777" w:rsidR="0054089B" w:rsidRPr="0017403F" w:rsidRDefault="0054089B" w:rsidP="000F1714">
      <w:pPr>
        <w:jc w:val="both"/>
        <w:rPr>
          <w:rFonts w:ascii="Times New Roman" w:hAnsi="Times New Roman" w:cs="Times New Roman"/>
          <w:sz w:val="22"/>
          <w:szCs w:val="22"/>
        </w:rPr>
      </w:pPr>
    </w:p>
    <w:p w14:paraId="582B2AB9" w14:textId="55B262D2" w:rsidR="0054089B" w:rsidRPr="0017403F" w:rsidRDefault="0054089B" w:rsidP="000F1714">
      <w:pPr>
        <w:jc w:val="both"/>
        <w:rPr>
          <w:rFonts w:ascii="Times New Roman" w:hAnsi="Times New Roman" w:cs="Times New Roman"/>
          <w:sz w:val="22"/>
          <w:szCs w:val="22"/>
        </w:rPr>
      </w:pPr>
    </w:p>
    <w:p w14:paraId="5F1292EF" w14:textId="77777777" w:rsidR="00E12008" w:rsidRDefault="00E12008" w:rsidP="000F1714">
      <w:pPr>
        <w:jc w:val="both"/>
      </w:pPr>
    </w:p>
    <w:p w14:paraId="0D0B113F" w14:textId="77777777" w:rsidR="00B162C7" w:rsidRDefault="00B162C7" w:rsidP="000F1714">
      <w:pPr>
        <w:jc w:val="both"/>
      </w:pPr>
    </w:p>
    <w:p w14:paraId="54424861" w14:textId="77777777" w:rsidR="00B162C7" w:rsidRDefault="00B162C7" w:rsidP="000F1714">
      <w:pPr>
        <w:jc w:val="both"/>
      </w:pPr>
    </w:p>
    <w:p w14:paraId="539113D1" w14:textId="77777777" w:rsidR="00B162C7" w:rsidRDefault="00B162C7" w:rsidP="000F1714">
      <w:pPr>
        <w:jc w:val="both"/>
      </w:pPr>
    </w:p>
    <w:p w14:paraId="6EBD2CE8" w14:textId="77777777" w:rsidR="00B162C7" w:rsidRDefault="00B162C7" w:rsidP="000F1714">
      <w:pPr>
        <w:jc w:val="both"/>
      </w:pPr>
    </w:p>
    <w:p w14:paraId="7F144F24" w14:textId="77777777" w:rsidR="00B162C7" w:rsidRDefault="00B162C7" w:rsidP="000F1714">
      <w:pPr>
        <w:jc w:val="both"/>
      </w:pPr>
    </w:p>
    <w:p w14:paraId="0E40D0FA" w14:textId="77777777" w:rsidR="00B162C7" w:rsidRDefault="00B162C7" w:rsidP="000F1714">
      <w:pPr>
        <w:jc w:val="both"/>
      </w:pPr>
    </w:p>
    <w:p w14:paraId="39C2B899" w14:textId="77777777" w:rsidR="0089015E" w:rsidRDefault="0089015E" w:rsidP="000F1714">
      <w:pPr>
        <w:jc w:val="both"/>
      </w:pPr>
    </w:p>
    <w:p w14:paraId="2A8EC1D7" w14:textId="04A81A7C" w:rsidR="0089015E" w:rsidRPr="00AE2244" w:rsidRDefault="00AE2244" w:rsidP="00AE2244">
      <w:pPr>
        <w:jc w:val="right"/>
        <w:rPr>
          <w:rFonts w:ascii="Times New Roman" w:hAnsi="Times New Roman" w:cs="Times New Roman"/>
          <w:b/>
          <w:bCs/>
          <w:sz w:val="22"/>
          <w:szCs w:val="22"/>
        </w:rPr>
      </w:pPr>
      <w:r w:rsidRPr="00AE2244">
        <w:rPr>
          <w:rFonts w:ascii="Times New Roman" w:hAnsi="Times New Roman" w:cs="Times New Roman"/>
          <w:b/>
          <w:bCs/>
          <w:sz w:val="22"/>
          <w:szCs w:val="22"/>
        </w:rPr>
        <w:lastRenderedPageBreak/>
        <w:t>ARALIK 2025</w:t>
      </w:r>
    </w:p>
    <w:p w14:paraId="586AEC52" w14:textId="3D47F2E3" w:rsidR="00D2373F" w:rsidRPr="005813B2" w:rsidRDefault="00D2373F" w:rsidP="00D2373F">
      <w:pPr>
        <w:pStyle w:val="ListeParagraf"/>
        <w:numPr>
          <w:ilvl w:val="0"/>
          <w:numId w:val="5"/>
        </w:numPr>
        <w:tabs>
          <w:tab w:val="left" w:pos="-142"/>
          <w:tab w:val="left" w:pos="284"/>
          <w:tab w:val="num" w:pos="426"/>
        </w:tabs>
        <w:spacing w:after="0"/>
        <w:jc w:val="both"/>
        <w:rPr>
          <w:rFonts w:ascii="Times New Roman" w:hAnsi="Times New Roman" w:cs="Times New Roman"/>
          <w:b/>
          <w:bCs/>
          <w:sz w:val="22"/>
          <w:szCs w:val="22"/>
        </w:rPr>
      </w:pPr>
      <w:r w:rsidRPr="005813B2">
        <w:rPr>
          <w:b/>
          <w:bCs/>
        </w:rPr>
        <w:t xml:space="preserve"> </w:t>
      </w:r>
      <w:r w:rsidRPr="005813B2">
        <w:rPr>
          <w:rFonts w:ascii="Times New Roman" w:hAnsi="Times New Roman" w:cs="Times New Roman"/>
          <w:b/>
          <w:bCs/>
          <w:sz w:val="22"/>
          <w:szCs w:val="22"/>
        </w:rPr>
        <w:t xml:space="preserve">KURUMSAL HUKUK SERİSİ #4 İŞVERENLERİN EN SIK YAPTIĞI HUKUKİ HATALAR                NELERDİR? </w:t>
      </w:r>
    </w:p>
    <w:p w14:paraId="655F2B42" w14:textId="77777777" w:rsidR="005813B2" w:rsidRDefault="005813B2" w:rsidP="005813B2">
      <w:pPr>
        <w:ind w:left="360"/>
        <w:jc w:val="both"/>
      </w:pPr>
    </w:p>
    <w:p w14:paraId="29710DDC"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İşverenlerin, günlük operasyon yoğunluğu içinde hukuki süreçleri geri plana atması yaygın bir durumdur.</w:t>
      </w:r>
    </w:p>
    <w:p w14:paraId="712D842A"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Ancak göz ardı edilen her hukuki detay, ileride özellikle işçilik alacakları, tazminat ve idari para cezaları bakımından ciddi mali sonuçlar ve uyuşmazlıklara yol açmaktadır.</w:t>
      </w:r>
    </w:p>
    <w:p w14:paraId="7A344364"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Bu nedenle kurumsal yönetimde hukuki uyum ve farkındalık, sürdürülebilir iş modeli açısından kritik öneme sahiptir.</w:t>
      </w:r>
    </w:p>
    <w:p w14:paraId="420A4CC9"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Bu seride, işverenlerin en sık yaptığı hataları ve bu hataların doğurduğu sonuçları ayrıntılı biçimde ele almaktayız.</w:t>
      </w:r>
    </w:p>
    <w:p w14:paraId="2030A5CB"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Eksik veya Yanlış Hazırlanan Çalışan Sözleşmeleri</w:t>
      </w:r>
    </w:p>
    <w:p w14:paraId="0555305F"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Çalışan sözleşmelerinin sözlü ya da eksik hazırlanması yaygın hatalardan biridir.</w:t>
      </w:r>
    </w:p>
    <w:p w14:paraId="302D54E6"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Görev tanımlarının, çalışma şartlarının ve ücret yapısının net yazılmaması uyuşmazlıklara neden olmaktadır.</w:t>
      </w:r>
    </w:p>
    <w:p w14:paraId="561ED1B9"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Eksik düzenlenen sözleşmeler, dava süreçlerinde işveren aleyhine güçlü bir delil oluşturabilmektedir.</w:t>
      </w:r>
    </w:p>
    <w:p w14:paraId="77607BB2"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Fazla Mesai ve Çalışma Sürelerinin Doğru Yönetilmemesi</w:t>
      </w:r>
    </w:p>
    <w:p w14:paraId="4B766588"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Fazla mesainin 4857 sayılı İş Kanunu’nun 41. maddesine aykırı şekilde kayıt altına alınmaması veya yanlış hesaplanması, yüksek maliyetli iş davalarına yol açmaktadır.</w:t>
      </w:r>
    </w:p>
    <w:p w14:paraId="1821F4A4"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Çalışma sürelerinin mevzuata uygun planlanmaması özellikle İş Kanunu’nun 63. maddesinde öngörülen günlük ve haftalık azami süreleri aşacak şekilde planlanması işveren için önemli bir risk oluşturmaktadır.</w:t>
      </w:r>
    </w:p>
    <w:p w14:paraId="69B2F012"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Bu nedenle zaman çizelgelerinin ve bordroların doğru ve ispat gücünü haiz şekilde tutulması hukuki açıdan zorunluluktur.</w:t>
      </w:r>
    </w:p>
    <w:p w14:paraId="10B0E119"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İş Sağlığı ve Güvenliği Önlemlerinin Eksikliği</w:t>
      </w:r>
    </w:p>
    <w:p w14:paraId="6CB8278A"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İş sağlığı ve güvenliği yükümlülüklerinin 6331 sayılı İş Sağlığı ve Güvenliği Kanunu ve sair mevzuat kapsamında yerine getirilmemesi idari para cezaları, işin durdurulması ve hatta ceza sorumluluğu gibi ağır yaptırımlara neden olmaktadır.</w:t>
      </w:r>
    </w:p>
    <w:p w14:paraId="6FD1C075"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Risk analizlerinin yapılmaması, eğitimlerin verilmemesi ve gerekli ekipmanların sağlanmaması işvereni doğrudan sorumlu kılmaktadır.</w:t>
      </w:r>
    </w:p>
    <w:p w14:paraId="5CD134EC"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İş kazaları ve meslek hastalıkları işverenler için en yüksek risk gruplarından biridir.</w:t>
      </w:r>
    </w:p>
    <w:p w14:paraId="60E83BA4"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Usulsüz Fesih Uygulamaları</w:t>
      </w:r>
    </w:p>
    <w:p w14:paraId="4844F0B9"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Fesih sürecinin 4857 sayılı İş Kanunu’nun 17, 18, 19 ve 20. Maddelerine ve diğer sair mevzuata uygun yürütülmemesi işe iade davaları, boşta geçen süre ücreti ve işe başlatmama tazminatı gibi ciddi tazminat yükümlülükleri doğurmaktadır.</w:t>
      </w:r>
    </w:p>
    <w:p w14:paraId="17D3C380"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Gerekçesiz fesih, savunma alınmadan yapılan işlemler veya bildirim eksiklikleri sık görülen hatalardır.</w:t>
      </w:r>
    </w:p>
    <w:p w14:paraId="31FFB442"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lastRenderedPageBreak/>
        <w:t>Doğru şekilde yürütülmeyen fesih süreçleri işveren açısından yüksek maliyet doğurmaktadır.</w:t>
      </w:r>
    </w:p>
    <w:p w14:paraId="39B308A4"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Belge ve Kayıt Düzeninin Yetersizliği</w:t>
      </w:r>
    </w:p>
    <w:p w14:paraId="245F4C0E"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Personel özlük dosyalarının eksik tutulması, bordroların imzasız olması veya kayıtların zamanında güncellenmemesi hukuki açıdan risk oluşturmaktadır.</w:t>
      </w:r>
    </w:p>
    <w:p w14:paraId="76F56BB5"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Eksik kayıtlar, olası uyuşmazlıklarda işveren aleyhine yorumlanmaktadır ve ispat yükünün işveren aleyhine değerlendirilmesine neden olmaktadır.</w:t>
      </w:r>
    </w:p>
    <w:p w14:paraId="4031E88E"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Düzenli kayıt sistemi, iş davalarında en güçlü savunma araçlarından biridir.</w:t>
      </w:r>
    </w:p>
    <w:p w14:paraId="55B35558"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Yanlış Görevlendirmeler ve Yetki Dağılımı</w:t>
      </w:r>
    </w:p>
    <w:p w14:paraId="5BDDEEED"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Çalışanlara görev tanımı dışında sorumluluk verilmesi sık karşılaşılan bir hatadır.</w:t>
      </w:r>
    </w:p>
    <w:p w14:paraId="6C23F1C1"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Yetki devrinin yazılı yapılmaması, sorumlulukların karışmasına neden olmaktadır.</w:t>
      </w:r>
    </w:p>
    <w:p w14:paraId="39FE7C63"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Bu durum hem iş güvenliğini hem de yönetsel işleyişi zayıflatmaktadır.</w:t>
      </w:r>
    </w:p>
    <w:p w14:paraId="72F6C4CB"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Eşitlik İlkesine Aykırı Uygulamalar</w:t>
      </w:r>
    </w:p>
    <w:p w14:paraId="7FE88FFC"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Çalışanlar arasında ücret, terfi veya çalışma koşullarında farklı muamele yapılması 4857 sayılı İş Kanunu’nun 5. maddesinde düzenlenen eşit davranma ilkesine aykırıdır.</w:t>
      </w:r>
    </w:p>
    <w:p w14:paraId="17E8BAA6"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Bu tür uygulamalar işveren açısından ayrımcılık tazminatı ve maddi-manevi tazminat davaları riskini artırmaktadır.</w:t>
      </w:r>
    </w:p>
    <w:p w14:paraId="564D2EC5"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Eşitlik ilkesine uygun yönetim, kurumsal işleyişin temel unsurlarındandır.</w:t>
      </w:r>
    </w:p>
    <w:p w14:paraId="6A082BCF"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Uyumsuzluk ve Mevzuat Takibinin Zayıflığı</w:t>
      </w:r>
    </w:p>
    <w:p w14:paraId="568581C9"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Mevzuat sürekli güncellenmektedir ve işverenlerin bu değişikliklere hızla uyum sağlaması gereklidir.</w:t>
      </w:r>
    </w:p>
    <w:p w14:paraId="5AD0D0D6"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Yetersiz mevzuat takibi, idari para cezalarına ve denetim sorunlarına yol açmaktadır.</w:t>
      </w:r>
    </w:p>
    <w:p w14:paraId="17E89343"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Düzenli hukuki danışmanlık alınması işverenin idari, mali ve cezai risklerini azaltan önemli bir adım niteliğindedir.</w:t>
      </w:r>
    </w:p>
    <w:p w14:paraId="50662BEF" w14:textId="77777777" w:rsidR="005813B2" w:rsidRPr="006B62B8" w:rsidRDefault="005813B2" w:rsidP="005813B2">
      <w:pPr>
        <w:jc w:val="both"/>
        <w:rPr>
          <w:rFonts w:ascii="Times New Roman" w:hAnsi="Times New Roman" w:cs="Times New Roman"/>
          <w:b/>
          <w:bCs/>
          <w:color w:val="000000" w:themeColor="text1"/>
          <w:sz w:val="22"/>
          <w:szCs w:val="22"/>
        </w:rPr>
      </w:pPr>
      <w:r w:rsidRPr="006B62B8">
        <w:rPr>
          <w:rFonts w:ascii="Times New Roman" w:hAnsi="Times New Roman" w:cs="Times New Roman"/>
          <w:b/>
          <w:bCs/>
          <w:color w:val="000000" w:themeColor="text1"/>
          <w:sz w:val="22"/>
          <w:szCs w:val="22"/>
        </w:rPr>
        <w:t>Sonuç</w:t>
      </w:r>
    </w:p>
    <w:p w14:paraId="7AB04B4F"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İşverenlerin yaptığı hukuki hatalar çoğu zaman küçük bir ihmal ile başlamaktadır.</w:t>
      </w:r>
    </w:p>
    <w:p w14:paraId="58460D95"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Ancak sonuçları yüksek maliyetli ve uzun vadeli olabilmektedir.</w:t>
      </w:r>
    </w:p>
    <w:p w14:paraId="1283FEF3"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 xml:space="preserve">Kurumsal uyum, doğru </w:t>
      </w:r>
      <w:proofErr w:type="gramStart"/>
      <w:r w:rsidRPr="006B62B8">
        <w:rPr>
          <w:rFonts w:ascii="Times New Roman" w:hAnsi="Times New Roman" w:cs="Times New Roman"/>
          <w:color w:val="000000" w:themeColor="text1"/>
          <w:sz w:val="22"/>
          <w:szCs w:val="22"/>
        </w:rPr>
        <w:t>dokümantasyon</w:t>
      </w:r>
      <w:proofErr w:type="gramEnd"/>
      <w:r w:rsidRPr="006B62B8">
        <w:rPr>
          <w:rFonts w:ascii="Times New Roman" w:hAnsi="Times New Roman" w:cs="Times New Roman"/>
          <w:color w:val="000000" w:themeColor="text1"/>
          <w:sz w:val="22"/>
          <w:szCs w:val="22"/>
        </w:rPr>
        <w:t xml:space="preserve"> ve profesyonel hukuki destek, işverenin risklerini azaltan temel unsurlardır.</w:t>
      </w:r>
    </w:p>
    <w:p w14:paraId="6CD86061"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Kurumsal Hukuk Serisi’nin bu bölümü, işverenlerin sık karşılaştığı hukuki risk alanlarına ışık tutmaktadır.</w:t>
      </w:r>
    </w:p>
    <w:p w14:paraId="43F65A9B" w14:textId="77777777" w:rsidR="005813B2" w:rsidRPr="006B62B8" w:rsidRDefault="005813B2" w:rsidP="005813B2">
      <w:pPr>
        <w:jc w:val="both"/>
        <w:rPr>
          <w:rFonts w:ascii="Times New Roman" w:hAnsi="Times New Roman" w:cs="Times New Roman"/>
          <w:color w:val="000000" w:themeColor="text1"/>
          <w:sz w:val="22"/>
          <w:szCs w:val="22"/>
        </w:rPr>
      </w:pPr>
      <w:r w:rsidRPr="006B62B8">
        <w:rPr>
          <w:rFonts w:ascii="Times New Roman" w:hAnsi="Times New Roman" w:cs="Times New Roman"/>
          <w:color w:val="000000" w:themeColor="text1"/>
          <w:sz w:val="22"/>
          <w:szCs w:val="22"/>
        </w:rPr>
        <w:t>Serinin devamı için bizi takip etmeyi unutmayın.</w:t>
      </w:r>
    </w:p>
    <w:p w14:paraId="00A3DD65" w14:textId="77777777" w:rsidR="005813B2" w:rsidRDefault="005813B2" w:rsidP="005813B2">
      <w:pPr>
        <w:ind w:left="360"/>
        <w:jc w:val="both"/>
      </w:pPr>
    </w:p>
    <w:sectPr w:rsidR="005813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C5102"/>
    <w:multiLevelType w:val="hybridMultilevel"/>
    <w:tmpl w:val="6C509478"/>
    <w:lvl w:ilvl="0" w:tplc="041F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9110E40"/>
    <w:multiLevelType w:val="hybridMultilevel"/>
    <w:tmpl w:val="0A9A048C"/>
    <w:lvl w:ilvl="0" w:tplc="F076A1FE">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3C2D5578"/>
    <w:multiLevelType w:val="hybridMultilevel"/>
    <w:tmpl w:val="84CAB192"/>
    <w:lvl w:ilvl="0" w:tplc="510E2128">
      <w:numFmt w:val="bullet"/>
      <w:lvlText w:val="-"/>
      <w:lvlJc w:val="left"/>
      <w:pPr>
        <w:ind w:left="720" w:hanging="360"/>
      </w:pPr>
      <w:rPr>
        <w:rFonts w:ascii="Times New Roman" w:eastAsiaTheme="minorHAnsi"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0E712AC"/>
    <w:multiLevelType w:val="hybridMultilevel"/>
    <w:tmpl w:val="F27287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87209FE"/>
    <w:multiLevelType w:val="multilevel"/>
    <w:tmpl w:val="AD76FB24"/>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3E4201"/>
    <w:multiLevelType w:val="hybridMultilevel"/>
    <w:tmpl w:val="BFA82F44"/>
    <w:lvl w:ilvl="0" w:tplc="8B12BA5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C1D1E8A"/>
    <w:multiLevelType w:val="hybridMultilevel"/>
    <w:tmpl w:val="E8327F64"/>
    <w:lvl w:ilvl="0" w:tplc="BD7A643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09629881">
    <w:abstractNumId w:val="5"/>
  </w:num>
  <w:num w:numId="2" w16cid:durableId="1789426879">
    <w:abstractNumId w:val="1"/>
  </w:num>
  <w:num w:numId="3" w16cid:durableId="133455022">
    <w:abstractNumId w:val="0"/>
  </w:num>
  <w:num w:numId="4" w16cid:durableId="595089745">
    <w:abstractNumId w:val="3"/>
  </w:num>
  <w:num w:numId="5" w16cid:durableId="138347318">
    <w:abstractNumId w:val="6"/>
  </w:num>
  <w:num w:numId="6" w16cid:durableId="25757083">
    <w:abstractNumId w:val="2"/>
  </w:num>
  <w:num w:numId="7" w16cid:durableId="1586383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F73"/>
    <w:rsid w:val="000F1714"/>
    <w:rsid w:val="00132E76"/>
    <w:rsid w:val="00154AAE"/>
    <w:rsid w:val="00166922"/>
    <w:rsid w:val="00304073"/>
    <w:rsid w:val="0033052B"/>
    <w:rsid w:val="004E4043"/>
    <w:rsid w:val="0054089B"/>
    <w:rsid w:val="00561077"/>
    <w:rsid w:val="005813B2"/>
    <w:rsid w:val="005F01B9"/>
    <w:rsid w:val="00697D07"/>
    <w:rsid w:val="006B502F"/>
    <w:rsid w:val="0072190E"/>
    <w:rsid w:val="00771D9F"/>
    <w:rsid w:val="008034EC"/>
    <w:rsid w:val="0089015E"/>
    <w:rsid w:val="008D2113"/>
    <w:rsid w:val="008F5A4F"/>
    <w:rsid w:val="009766A0"/>
    <w:rsid w:val="009A7F73"/>
    <w:rsid w:val="00A00725"/>
    <w:rsid w:val="00A118AC"/>
    <w:rsid w:val="00A402BD"/>
    <w:rsid w:val="00AE2244"/>
    <w:rsid w:val="00B162C7"/>
    <w:rsid w:val="00BD7DD6"/>
    <w:rsid w:val="00C2431E"/>
    <w:rsid w:val="00CE4199"/>
    <w:rsid w:val="00D2373F"/>
    <w:rsid w:val="00D96A90"/>
    <w:rsid w:val="00E12008"/>
    <w:rsid w:val="00E879EA"/>
    <w:rsid w:val="00F900B0"/>
    <w:rsid w:val="00FB1F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C211"/>
  <w15:chartTrackingRefBased/>
  <w15:docId w15:val="{4D104D60-07A2-4C17-8229-FEBE0378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89B"/>
  </w:style>
  <w:style w:type="paragraph" w:styleId="Balk1">
    <w:name w:val="heading 1"/>
    <w:basedOn w:val="Normal"/>
    <w:next w:val="Normal"/>
    <w:link w:val="Balk1Char"/>
    <w:uiPriority w:val="9"/>
    <w:qFormat/>
    <w:rsid w:val="009A7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A7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A7F7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A7F7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A7F7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A7F7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A7F7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A7F7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A7F7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A7F7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A7F7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A7F7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A7F7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A7F7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A7F7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A7F7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A7F7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A7F73"/>
    <w:rPr>
      <w:rFonts w:eastAsiaTheme="majorEastAsia" w:cstheme="majorBidi"/>
      <w:color w:val="272727" w:themeColor="text1" w:themeTint="D8"/>
    </w:rPr>
  </w:style>
  <w:style w:type="paragraph" w:styleId="KonuBal">
    <w:name w:val="Title"/>
    <w:basedOn w:val="Normal"/>
    <w:next w:val="Normal"/>
    <w:link w:val="KonuBalChar"/>
    <w:uiPriority w:val="10"/>
    <w:qFormat/>
    <w:rsid w:val="009A7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A7F7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A7F7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A7F7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A7F7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A7F73"/>
    <w:rPr>
      <w:i/>
      <w:iCs/>
      <w:color w:val="404040" w:themeColor="text1" w:themeTint="BF"/>
    </w:rPr>
  </w:style>
  <w:style w:type="paragraph" w:styleId="ListeParagraf">
    <w:name w:val="List Paragraph"/>
    <w:basedOn w:val="Normal"/>
    <w:uiPriority w:val="34"/>
    <w:qFormat/>
    <w:rsid w:val="009A7F73"/>
    <w:pPr>
      <w:ind w:left="720"/>
      <w:contextualSpacing/>
    </w:pPr>
  </w:style>
  <w:style w:type="character" w:styleId="GlVurgulama">
    <w:name w:val="Intense Emphasis"/>
    <w:basedOn w:val="VarsaylanParagrafYazTipi"/>
    <w:uiPriority w:val="21"/>
    <w:qFormat/>
    <w:rsid w:val="009A7F73"/>
    <w:rPr>
      <w:i/>
      <w:iCs/>
      <w:color w:val="0F4761" w:themeColor="accent1" w:themeShade="BF"/>
    </w:rPr>
  </w:style>
  <w:style w:type="paragraph" w:styleId="GlAlnt">
    <w:name w:val="Intense Quote"/>
    <w:basedOn w:val="Normal"/>
    <w:next w:val="Normal"/>
    <w:link w:val="GlAlntChar"/>
    <w:uiPriority w:val="30"/>
    <w:qFormat/>
    <w:rsid w:val="009A7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A7F73"/>
    <w:rPr>
      <w:i/>
      <w:iCs/>
      <w:color w:val="0F4761" w:themeColor="accent1" w:themeShade="BF"/>
    </w:rPr>
  </w:style>
  <w:style w:type="character" w:styleId="GlBavuru">
    <w:name w:val="Intense Reference"/>
    <w:basedOn w:val="VarsaylanParagrafYazTipi"/>
    <w:uiPriority w:val="32"/>
    <w:qFormat/>
    <w:rsid w:val="009A7F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9B2BDC9E-C9BF-4935-9218-F14990795B4B}"/>
</file>

<file path=customXml/itemProps2.xml><?xml version="1.0" encoding="utf-8"?>
<ds:datastoreItem xmlns:ds="http://schemas.openxmlformats.org/officeDocument/2006/customXml" ds:itemID="{15606A7A-14AC-4568-8436-5BA17165B52B}"/>
</file>

<file path=customXml/itemProps3.xml><?xml version="1.0" encoding="utf-8"?>
<ds:datastoreItem xmlns:ds="http://schemas.openxmlformats.org/officeDocument/2006/customXml" ds:itemID="{438D0CA5-690A-4D2E-B94E-91EF6A0FF750}"/>
</file>

<file path=docProps/app.xml><?xml version="1.0" encoding="utf-8"?>
<Properties xmlns="http://schemas.openxmlformats.org/officeDocument/2006/extended-properties" xmlns:vt="http://schemas.openxmlformats.org/officeDocument/2006/docPropsVTypes">
  <Template>Normal</Template>
  <TotalTime>30</TotalTime>
  <Pages>19</Pages>
  <Words>6459</Words>
  <Characters>44639</Characters>
  <Application>Microsoft Office Word</Application>
  <DocSecurity>0</DocSecurity>
  <Lines>858</Lines>
  <Paragraphs>364</Paragraphs>
  <ScaleCrop>false</ScaleCrop>
  <Company/>
  <LinksUpToDate>false</LinksUpToDate>
  <CharactersWithSpaces>50734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31</cp:revision>
  <dcterms:created xsi:type="dcterms:W3CDTF">2026-04-17T12:26:00Z</dcterms:created>
  <dcterms:modified xsi:type="dcterms:W3CDTF">2026-04-17T16:58:00Z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ies>
</file>