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C628170" w:rsidP="1708BCE0" w:rsidRDefault="5C628170" w14:paraId="4294EC55" w14:textId="28FDFB09">
      <w:pPr>
        <w:jc w:val="both"/>
        <w:rPr>
          <w:rFonts w:ascii="Arial" w:hAnsi="Arial" w:eastAsia="Arial" w:cs="Arial"/>
          <w:b w:val="0"/>
          <w:bCs w:val="0"/>
          <w:i w:val="0"/>
          <w:iCs w:val="0"/>
          <w:caps w:val="0"/>
          <w:smallCaps w:val="0"/>
          <w:noProof/>
          <w:color w:val="D13438"/>
          <w:sz w:val="20"/>
          <w:szCs w:val="20"/>
          <w:lang w:val="tr-TR"/>
        </w:rPr>
      </w:pPr>
      <w:r w:rsidRPr="1708BCE0" w:rsidR="5C628170">
        <w:rPr>
          <w:rFonts w:ascii="Arial" w:hAnsi="Arial" w:eastAsia="Arial" w:cs="Arial"/>
          <w:b w:val="0"/>
          <w:bCs w:val="0"/>
          <w:i w:val="1"/>
          <w:iCs w:val="1"/>
          <w:caps w:val="0"/>
          <w:smallCaps w:val="0"/>
          <w:strike w:val="0"/>
          <w:dstrike w:val="0"/>
          <w:noProof/>
          <w:color w:val="D13438"/>
          <w:sz w:val="20"/>
          <w:szCs w:val="20"/>
          <w:u w:val="single"/>
          <w:lang w:val="en-US"/>
        </w:rPr>
        <w:t>Ege Çakırca tarafından</w:t>
      </w:r>
      <w:r w:rsidRPr="1708BCE0" w:rsidR="5C628170">
        <w:rPr>
          <w:rFonts w:ascii="Arial" w:hAnsi="Arial" w:eastAsia="Arial" w:cs="Arial"/>
          <w:b w:val="0"/>
          <w:bCs w:val="0"/>
          <w:i w:val="1"/>
          <w:iCs w:val="1"/>
          <w:caps w:val="0"/>
          <w:smallCaps w:val="0"/>
          <w:strike w:val="0"/>
          <w:dstrike w:val="0"/>
          <w:noProof/>
          <w:color w:val="D13438"/>
          <w:sz w:val="20"/>
          <w:szCs w:val="20"/>
          <w:u w:val="single"/>
          <w:lang w:val="tr-TR"/>
        </w:rPr>
        <w:t xml:space="preserve"> </w:t>
      </w:r>
      <w:r w:rsidRPr="1708BCE0" w:rsidR="79853DF5">
        <w:rPr>
          <w:rFonts w:ascii="Arial" w:hAnsi="Arial" w:eastAsia="Arial" w:cs="Arial"/>
          <w:b w:val="0"/>
          <w:bCs w:val="0"/>
          <w:i w:val="1"/>
          <w:iCs w:val="1"/>
          <w:caps w:val="0"/>
          <w:smallCaps w:val="0"/>
          <w:strike w:val="0"/>
          <w:dstrike w:val="0"/>
          <w:noProof/>
          <w:color w:val="D13438"/>
          <w:sz w:val="20"/>
          <w:szCs w:val="20"/>
          <w:u w:val="single"/>
          <w:lang w:val="tr-TR"/>
        </w:rPr>
        <w:t>Eylül 2025</w:t>
      </w:r>
      <w:r w:rsidRPr="1708BCE0" w:rsidR="5C628170">
        <w:rPr>
          <w:rFonts w:ascii="Arial" w:hAnsi="Arial" w:eastAsia="Arial" w:cs="Arial"/>
          <w:b w:val="0"/>
          <w:bCs w:val="0"/>
          <w:i w:val="1"/>
          <w:iCs w:val="1"/>
          <w:caps w:val="0"/>
          <w:smallCaps w:val="0"/>
          <w:strike w:val="0"/>
          <w:dstrike w:val="0"/>
          <w:noProof/>
          <w:color w:val="D13438"/>
          <w:sz w:val="20"/>
          <w:szCs w:val="20"/>
          <w:u w:val="single"/>
          <w:lang w:val="tr-TR"/>
        </w:rPr>
        <w:t xml:space="preserve"> - </w:t>
      </w:r>
      <w:r w:rsidRPr="1708BCE0" w:rsidR="23FFBEA0">
        <w:rPr>
          <w:rFonts w:ascii="Arial" w:hAnsi="Arial" w:eastAsia="Arial" w:cs="Arial"/>
          <w:b w:val="0"/>
          <w:bCs w:val="0"/>
          <w:i w:val="1"/>
          <w:iCs w:val="1"/>
          <w:caps w:val="0"/>
          <w:smallCaps w:val="0"/>
          <w:strike w:val="0"/>
          <w:dstrike w:val="0"/>
          <w:noProof/>
          <w:color w:val="D13438"/>
          <w:sz w:val="20"/>
          <w:szCs w:val="20"/>
          <w:u w:val="single"/>
          <w:lang w:val="tr-TR"/>
        </w:rPr>
        <w:t>Mart</w:t>
      </w:r>
      <w:r w:rsidRPr="1708BCE0" w:rsidR="5C628170">
        <w:rPr>
          <w:rFonts w:ascii="Arial" w:hAnsi="Arial" w:eastAsia="Arial" w:cs="Arial"/>
          <w:b w:val="0"/>
          <w:bCs w:val="0"/>
          <w:i w:val="1"/>
          <w:iCs w:val="1"/>
          <w:caps w:val="0"/>
          <w:smallCaps w:val="0"/>
          <w:strike w:val="0"/>
          <w:dstrike w:val="0"/>
          <w:noProof/>
          <w:color w:val="D13438"/>
          <w:sz w:val="20"/>
          <w:szCs w:val="20"/>
          <w:u w:val="single"/>
          <w:lang w:val="tr-TR"/>
        </w:rPr>
        <w:t xml:space="preserve"> 2026 </w:t>
      </w:r>
      <w:r w:rsidRPr="1708BCE0" w:rsidR="5C628170">
        <w:rPr>
          <w:rFonts w:ascii="Arial" w:hAnsi="Arial" w:eastAsia="Arial" w:cs="Arial"/>
          <w:b w:val="0"/>
          <w:bCs w:val="0"/>
          <w:i w:val="1"/>
          <w:iCs w:val="1"/>
          <w:caps w:val="0"/>
          <w:smallCaps w:val="0"/>
          <w:strike w:val="0"/>
          <w:dstrike w:val="0"/>
          <w:noProof/>
          <w:color w:val="D13438"/>
          <w:sz w:val="20"/>
          <w:szCs w:val="20"/>
          <w:u w:val="single"/>
          <w:lang w:val="en-US"/>
        </w:rPr>
        <w:t>tarihleri arasında “</w:t>
      </w:r>
      <w:r w:rsidRPr="1708BCE0" w:rsidR="5C628170">
        <w:rPr>
          <w:rFonts w:ascii="Arial" w:hAnsi="Arial" w:eastAsia="Arial" w:cs="Arial"/>
          <w:b w:val="0"/>
          <w:bCs w:val="0"/>
          <w:i w:val="0"/>
          <w:iCs w:val="0"/>
          <w:caps w:val="0"/>
          <w:smallCaps w:val="0"/>
          <w:strike w:val="0"/>
          <w:dstrike w:val="0"/>
          <w:noProof/>
          <w:color w:val="D13438"/>
          <w:sz w:val="20"/>
          <w:szCs w:val="20"/>
          <w:u w:val="single"/>
          <w:lang w:val="tr-TR"/>
        </w:rPr>
        <w:t>İklim D</w:t>
      </w:r>
      <w:r w:rsidRPr="1708BCE0" w:rsidR="45280288">
        <w:rPr>
          <w:rFonts w:ascii="Arial" w:hAnsi="Arial" w:eastAsia="Arial" w:cs="Arial"/>
          <w:b w:val="0"/>
          <w:bCs w:val="0"/>
          <w:i w:val="0"/>
          <w:iCs w:val="0"/>
          <w:caps w:val="0"/>
          <w:smallCaps w:val="0"/>
          <w:strike w:val="0"/>
          <w:dstrike w:val="0"/>
          <w:noProof/>
          <w:color w:val="D13438"/>
          <w:sz w:val="20"/>
          <w:szCs w:val="20"/>
          <w:u w:val="single"/>
          <w:lang w:val="tr-TR"/>
        </w:rPr>
        <w:t>üzenlemeleri ve Karbon</w:t>
      </w:r>
      <w:r w:rsidRPr="1708BCE0" w:rsidR="1086E200">
        <w:rPr>
          <w:rFonts w:ascii="Arial" w:hAnsi="Arial" w:eastAsia="Arial" w:cs="Arial"/>
          <w:b w:val="0"/>
          <w:bCs w:val="0"/>
          <w:i w:val="0"/>
          <w:iCs w:val="0"/>
          <w:caps w:val="0"/>
          <w:smallCaps w:val="0"/>
          <w:strike w:val="0"/>
          <w:dstrike w:val="0"/>
          <w:noProof/>
          <w:color w:val="D13438"/>
          <w:sz w:val="20"/>
          <w:szCs w:val="20"/>
          <w:u w:val="single"/>
          <w:lang w:val="tr-TR"/>
        </w:rPr>
        <w:t xml:space="preserve"> </w:t>
      </w:r>
      <w:r w:rsidRPr="1708BCE0" w:rsidR="45280288">
        <w:rPr>
          <w:rFonts w:ascii="Arial" w:hAnsi="Arial" w:eastAsia="Arial" w:cs="Arial"/>
          <w:b w:val="0"/>
          <w:bCs w:val="0"/>
          <w:i w:val="0"/>
          <w:iCs w:val="0"/>
          <w:caps w:val="0"/>
          <w:smallCaps w:val="0"/>
          <w:strike w:val="0"/>
          <w:dstrike w:val="0"/>
          <w:noProof/>
          <w:color w:val="D13438"/>
          <w:sz w:val="20"/>
          <w:szCs w:val="20"/>
          <w:u w:val="single"/>
          <w:lang w:val="tr-TR"/>
        </w:rPr>
        <w:t>Piyasası</w:t>
      </w:r>
      <w:r w:rsidRPr="1708BCE0" w:rsidR="5C628170">
        <w:rPr>
          <w:rFonts w:ascii="Arial" w:hAnsi="Arial" w:eastAsia="Arial" w:cs="Arial"/>
          <w:b w:val="0"/>
          <w:bCs w:val="0"/>
          <w:i w:val="0"/>
          <w:iCs w:val="0"/>
          <w:caps w:val="0"/>
          <w:smallCaps w:val="0"/>
          <w:strike w:val="0"/>
          <w:dstrike w:val="0"/>
          <w:noProof/>
          <w:color w:val="D13438"/>
          <w:sz w:val="20"/>
          <w:szCs w:val="20"/>
          <w:u w:val="single"/>
          <w:lang w:val="tr-TR"/>
        </w:rPr>
        <w:t>”</w:t>
      </w:r>
      <w:r w:rsidRPr="1708BCE0" w:rsidR="5C628170">
        <w:rPr>
          <w:rFonts w:ascii="Arial" w:hAnsi="Arial" w:eastAsia="Arial" w:cs="Arial"/>
          <w:b w:val="0"/>
          <w:bCs w:val="0"/>
          <w:i w:val="1"/>
          <w:iCs w:val="1"/>
          <w:caps w:val="0"/>
          <w:smallCaps w:val="0"/>
          <w:strike w:val="0"/>
          <w:dstrike w:val="0"/>
          <w:noProof/>
          <w:color w:val="D13438"/>
          <w:sz w:val="20"/>
          <w:szCs w:val="20"/>
          <w:u w:val="single"/>
          <w:lang w:val="en-US"/>
        </w:rPr>
        <w:t xml:space="preserve"> konusuna ilişkin olarak kaleme alınan işbu yazılar, yalnızca genel </w:t>
      </w:r>
      <w:r w:rsidRPr="1708BCE0" w:rsidR="5C628170">
        <w:rPr>
          <w:rFonts w:ascii="Arial" w:hAnsi="Arial" w:eastAsia="Arial" w:cs="Arial"/>
          <w:b w:val="0"/>
          <w:bCs w:val="0"/>
          <w:i w:val="1"/>
          <w:iCs w:val="1"/>
          <w:caps w:val="0"/>
          <w:smallCaps w:val="0"/>
          <w:strike w:val="0"/>
          <w:dstrike w:val="0"/>
          <w:noProof/>
          <w:color w:val="D13438"/>
          <w:sz w:val="20"/>
          <w:szCs w:val="20"/>
          <w:u w:val="single"/>
          <w:lang w:val="en-US"/>
        </w:rPr>
        <w:t>bilgilen</w:t>
      </w:r>
      <w:r w:rsidRPr="1708BCE0" w:rsidR="56782C2E">
        <w:rPr>
          <w:rFonts w:ascii="Arial" w:hAnsi="Arial" w:eastAsia="Arial" w:cs="Arial"/>
          <w:b w:val="0"/>
          <w:bCs w:val="0"/>
          <w:i w:val="1"/>
          <w:iCs w:val="1"/>
          <w:caps w:val="0"/>
          <w:smallCaps w:val="0"/>
          <w:strike w:val="0"/>
          <w:dstrike w:val="0"/>
          <w:noProof/>
          <w:color w:val="D13438"/>
          <w:sz w:val="20"/>
          <w:szCs w:val="20"/>
          <w:u w:val="single"/>
          <w:lang w:val="en-US"/>
        </w:rPr>
        <w:t>-</w:t>
      </w:r>
      <w:r w:rsidRPr="1708BCE0" w:rsidR="5C628170">
        <w:rPr>
          <w:rFonts w:ascii="Arial" w:hAnsi="Arial" w:eastAsia="Arial" w:cs="Arial"/>
          <w:b w:val="0"/>
          <w:bCs w:val="0"/>
          <w:i w:val="1"/>
          <w:iCs w:val="1"/>
          <w:caps w:val="0"/>
          <w:smallCaps w:val="0"/>
          <w:strike w:val="0"/>
          <w:dstrike w:val="0"/>
          <w:noProof/>
          <w:color w:val="D13438"/>
          <w:sz w:val="20"/>
          <w:szCs w:val="20"/>
          <w:u w:val="single"/>
          <w:lang w:val="en-US"/>
        </w:rPr>
        <w:t xml:space="preserve">dirme </w:t>
      </w:r>
      <w:r w:rsidRPr="1708BCE0" w:rsidR="5C628170">
        <w:rPr>
          <w:rFonts w:ascii="Arial" w:hAnsi="Arial" w:eastAsia="Arial" w:cs="Arial"/>
          <w:b w:val="0"/>
          <w:bCs w:val="0"/>
          <w:i w:val="1"/>
          <w:iCs w:val="1"/>
          <w:caps w:val="0"/>
          <w:smallCaps w:val="0"/>
          <w:strike w:val="0"/>
          <w:dstrike w:val="0"/>
          <w:noProof/>
          <w:color w:val="D13438"/>
          <w:sz w:val="20"/>
          <w:szCs w:val="20"/>
          <w:u w:val="single"/>
          <w:lang w:val="en-US"/>
        </w:rPr>
        <w:t xml:space="preserve">amacı taşımakta olup, herhangi bir şekilde hukuki görüş, mütalaa veya danışmanlık </w:t>
      </w:r>
      <w:r w:rsidRPr="1708BCE0" w:rsidR="5C628170">
        <w:rPr>
          <w:rFonts w:ascii="Arial" w:hAnsi="Arial" w:eastAsia="Arial" w:cs="Arial"/>
          <w:b w:val="0"/>
          <w:bCs w:val="0"/>
          <w:i w:val="1"/>
          <w:iCs w:val="1"/>
          <w:caps w:val="0"/>
          <w:smallCaps w:val="0"/>
          <w:strike w:val="0"/>
          <w:dstrike w:val="0"/>
          <w:noProof/>
          <w:color w:val="D13438"/>
          <w:sz w:val="20"/>
          <w:szCs w:val="20"/>
          <w:u w:val="single"/>
          <w:lang w:val="en-US"/>
        </w:rPr>
        <w:t>hiz</w:t>
      </w:r>
      <w:r w:rsidRPr="1708BCE0" w:rsidR="5C628170">
        <w:rPr>
          <w:rFonts w:ascii="Arial" w:hAnsi="Arial" w:eastAsia="Arial" w:cs="Arial"/>
          <w:b w:val="0"/>
          <w:bCs w:val="0"/>
          <w:i w:val="1"/>
          <w:iCs w:val="1"/>
          <w:caps w:val="0"/>
          <w:smallCaps w:val="0"/>
          <w:strike w:val="0"/>
          <w:dstrike w:val="0"/>
          <w:noProof/>
          <w:color w:val="D13438"/>
          <w:sz w:val="20"/>
          <w:szCs w:val="20"/>
          <w:u w:val="single"/>
          <w:lang w:val="en-US"/>
        </w:rPr>
        <w:t>meti teşkil etmemektedir. Bu içerikler, belirli bir somut olaya uygulanmak üzere hazırlanmadığından, avukat-müvekkil ilişkisinin kurulmasına da yol açmaz.</w:t>
      </w:r>
    </w:p>
    <w:p w:rsidR="5C628170" w:rsidP="1708BCE0" w:rsidRDefault="5C628170" w14:paraId="3FD575C7" w14:textId="79FB6FE6">
      <w:pPr>
        <w:jc w:val="both"/>
        <w:rPr>
          <w:rFonts w:ascii="Arial" w:hAnsi="Arial" w:eastAsia="Arial" w:cs="Arial"/>
          <w:b w:val="0"/>
          <w:bCs w:val="0"/>
          <w:i w:val="0"/>
          <w:iCs w:val="0"/>
          <w:caps w:val="0"/>
          <w:smallCaps w:val="0"/>
          <w:noProof/>
          <w:color w:val="D13438"/>
          <w:sz w:val="20"/>
          <w:szCs w:val="20"/>
          <w:lang w:val="tr-TR"/>
        </w:rPr>
      </w:pPr>
      <w:r w:rsidRPr="1708BCE0" w:rsidR="5C628170">
        <w:rPr>
          <w:rFonts w:ascii="Arial" w:hAnsi="Arial" w:eastAsia="Arial" w:cs="Arial"/>
          <w:b w:val="0"/>
          <w:bCs w:val="0"/>
          <w:i w:val="1"/>
          <w:iCs w:val="1"/>
          <w:caps w:val="0"/>
          <w:smallCaps w:val="0"/>
          <w:strike w:val="0"/>
          <w:dstrike w:val="0"/>
          <w:noProof/>
          <w:color w:val="D13438"/>
          <w:sz w:val="20"/>
          <w:szCs w:val="20"/>
          <w:u w:val="single"/>
          <w:lang w:val="en-US"/>
        </w:rPr>
        <w:t>Metinlerde yer alan bilgi ve değerlendirmelerin güncelliği, doğruluğu veya belirli bir amaca uygunluğu konusunda açık ya da zımni herhangi bir taahhüt veya garanti verilmemektedir.</w:t>
      </w:r>
    </w:p>
    <w:p w:rsidR="5C628170" w:rsidP="1708BCE0" w:rsidRDefault="5C628170" w14:paraId="549DBC6E" w14:textId="5C0944C4">
      <w:pPr>
        <w:jc w:val="both"/>
        <w:rPr>
          <w:rFonts w:ascii="Arial" w:hAnsi="Arial" w:eastAsia="Arial" w:cs="Arial"/>
          <w:b w:val="0"/>
          <w:bCs w:val="0"/>
          <w:i w:val="0"/>
          <w:iCs w:val="0"/>
          <w:caps w:val="0"/>
          <w:smallCaps w:val="0"/>
          <w:noProof/>
          <w:color w:val="D13438"/>
          <w:sz w:val="20"/>
          <w:szCs w:val="20"/>
          <w:lang w:val="tr-TR"/>
        </w:rPr>
      </w:pPr>
      <w:r w:rsidRPr="1708BCE0" w:rsidR="5C628170">
        <w:rPr>
          <w:rFonts w:ascii="Arial" w:hAnsi="Arial" w:eastAsia="Arial" w:cs="Arial"/>
          <w:b w:val="0"/>
          <w:bCs w:val="0"/>
          <w:i w:val="1"/>
          <w:iCs w:val="1"/>
          <w:caps w:val="0"/>
          <w:smallCaps w:val="0"/>
          <w:strike w:val="0"/>
          <w:dstrike w:val="0"/>
          <w:noProof/>
          <w:color w:val="D13438"/>
          <w:sz w:val="20"/>
          <w:szCs w:val="20"/>
          <w:u w:val="single"/>
          <w:lang w:val="en-US"/>
        </w:rPr>
        <w:t>Bu içeriklere dayanılarak tesis edilecek her türlü işlem öncesinde, somut olayın özellikleri çerçevesinde yetkin bir hukuk uzmanından profesyonel destek alınması gerekmektedir. Aksi yönde yapılacak işlemlerden doğabilecek her türlü risk ve sorumluluk münhasıran ilgili kişiye aittir.</w:t>
      </w:r>
    </w:p>
    <w:p w:rsidR="5C628170" w:rsidP="1708BCE0" w:rsidRDefault="5C628170" w14:paraId="3F23FFAF" w14:textId="25598FE4">
      <w:pPr>
        <w:jc w:val="both"/>
        <w:rPr>
          <w:rFonts w:ascii="Arial" w:hAnsi="Arial" w:eastAsia="Arial" w:cs="Arial"/>
          <w:b w:val="0"/>
          <w:bCs w:val="0"/>
          <w:i w:val="0"/>
          <w:iCs w:val="0"/>
          <w:caps w:val="0"/>
          <w:smallCaps w:val="0"/>
          <w:noProof/>
          <w:color w:val="D13438"/>
          <w:sz w:val="20"/>
          <w:szCs w:val="20"/>
          <w:lang w:val="tr-TR"/>
        </w:rPr>
      </w:pPr>
      <w:r w:rsidRPr="1708BCE0" w:rsidR="5C628170">
        <w:rPr>
          <w:rFonts w:ascii="Arial" w:hAnsi="Arial" w:eastAsia="Arial" w:cs="Arial"/>
          <w:b w:val="0"/>
          <w:bCs w:val="0"/>
          <w:i w:val="1"/>
          <w:iCs w:val="1"/>
          <w:caps w:val="0"/>
          <w:smallCaps w:val="0"/>
          <w:strike w:val="0"/>
          <w:dstrike w:val="0"/>
          <w:noProof/>
          <w:color w:val="D13438"/>
          <w:sz w:val="20"/>
          <w:szCs w:val="20"/>
          <w:u w:val="single"/>
          <w:lang w:val="en-US"/>
        </w:rPr>
        <w:t>İşbu içeriklerin kullanımından, yorumlanmasından veya bunlara dayanılarak alınan kararlardan kaynaklanabilecek doğrudan ya da dolaylı hiçbir zarar ve ziyandan dolayı firmamız, ortakları, çalışanları ve avukatları herhangi bir sorumluluk kabul etmez.</w:t>
      </w:r>
    </w:p>
    <w:p w:rsidR="1708BCE0" w:rsidP="1708BCE0" w:rsidRDefault="1708BCE0" w14:paraId="65D6C6F9" w14:textId="75F3FA49">
      <w:pPr>
        <w:spacing w:before="240" w:beforeAutospacing="off" w:after="240" w:afterAutospacing="off" w:line="276" w:lineRule="auto"/>
        <w:jc w:val="both"/>
        <w:rPr>
          <w:rFonts w:ascii="Arial" w:hAnsi="Arial" w:eastAsia="Arial" w:cs="Arial"/>
          <w:b w:val="0"/>
          <w:bCs w:val="0"/>
          <w:i w:val="0"/>
          <w:iCs w:val="0"/>
          <w:caps w:val="0"/>
          <w:smallCaps w:val="0"/>
          <w:noProof/>
          <w:color w:val="000000" w:themeColor="text1" w:themeTint="FF" w:themeShade="FF"/>
          <w:sz w:val="22"/>
          <w:szCs w:val="22"/>
          <w:lang w:val="tr-TR"/>
        </w:rPr>
      </w:pPr>
    </w:p>
    <w:p w:rsidR="1708BCE0" w:rsidP="1708BCE0" w:rsidRDefault="1708BCE0" w14:paraId="7B85ED94" w14:textId="09A34C8B">
      <w:pPr>
        <w:tabs>
          <w:tab w:val="num" w:leader="none" w:pos="720"/>
        </w:tabs>
        <w:spacing w:line="276" w:lineRule="auto"/>
        <w:ind w:left="0" w:hanging="0"/>
        <w:jc w:val="both"/>
        <w:rPr>
          <w:rFonts w:ascii="Arial" w:hAnsi="Arial" w:eastAsia="Arial" w:cs="Arial"/>
          <w:sz w:val="22"/>
          <w:szCs w:val="22"/>
        </w:rPr>
      </w:pPr>
    </w:p>
    <w:p w:rsidRPr="00F43810" w:rsidR="00844EDB" w:rsidP="1708BCE0" w:rsidRDefault="00844EDB" w14:paraId="0CDB68B0" w14:textId="091B1CA4">
      <w:pPr>
        <w:tabs>
          <w:tab w:val="num" w:pos="720"/>
        </w:tabs>
        <w:spacing w:line="276" w:lineRule="auto"/>
        <w:ind w:left="0" w:hanging="0"/>
        <w:jc w:val="both"/>
        <w:rPr>
          <w:rFonts w:ascii="Arial" w:hAnsi="Arial" w:eastAsia="Arial" w:cs="Arial"/>
          <w:sz w:val="22"/>
          <w:szCs w:val="22"/>
        </w:rPr>
      </w:pPr>
      <w:r w:rsidRPr="1708BCE0" w:rsidR="77CA0AF3">
        <w:rPr>
          <w:rFonts w:ascii="Arial" w:hAnsi="Arial" w:eastAsia="Arial" w:cs="Arial"/>
          <w:sz w:val="22"/>
          <w:szCs w:val="22"/>
        </w:rPr>
        <w:t>EYLÜL 2025</w:t>
      </w:r>
    </w:p>
    <w:p w:rsidR="16C48E9E" w:rsidP="058DFE7F" w:rsidRDefault="16C48E9E" w14:paraId="6B68EE44" w14:textId="155DF60C">
      <w:pPr>
        <w:spacing w:before="240" w:beforeAutospacing="off" w:after="240" w:afterAutospacing="off"/>
        <w:jc w:val="both"/>
        <w:rPr>
          <w:rFonts w:ascii="Arial" w:hAnsi="Arial" w:eastAsia="Arial" w:cs="Arial"/>
          <w:b w:val="1"/>
          <w:bCs w:val="1"/>
          <w:noProof w:val="0"/>
          <w:sz w:val="22"/>
          <w:szCs w:val="22"/>
          <w:lang w:val="tr-TR"/>
        </w:rPr>
      </w:pPr>
      <w:r w:rsidRPr="058DFE7F" w:rsidR="16C48E9E">
        <w:rPr>
          <w:rFonts w:ascii="Arial" w:hAnsi="Arial" w:eastAsia="Arial" w:cs="Arial"/>
          <w:b w:val="1"/>
          <w:bCs w:val="1"/>
          <w:noProof w:val="0"/>
          <w:sz w:val="22"/>
          <w:szCs w:val="22"/>
          <w:lang w:val="tr-TR"/>
        </w:rPr>
        <w:t>EUROPEAN COMMISSION CONFIRMS THAT CBAM WILL START ON JANUARY 1, 2026 / AVRUPA KOMİSYONU, SKDM’NİN 1 OCAK 2026 TARİHİ İTİBARIYLA UYGULANMAYA BAŞLAYACAĞINI TEYİT ETTİ</w:t>
      </w:r>
    </w:p>
    <w:p w:rsidR="16C48E9E" w:rsidP="058DFE7F" w:rsidRDefault="16C48E9E" w14:paraId="265E66D1" w14:textId="00045DC9">
      <w:pPr>
        <w:spacing w:before="240" w:beforeAutospacing="off" w:after="240" w:afterAutospacing="off"/>
        <w:jc w:val="both"/>
        <w:rPr>
          <w:rFonts w:ascii="Arial" w:hAnsi="Arial" w:eastAsia="Arial" w:cs="Arial"/>
          <w:noProof w:val="0"/>
          <w:sz w:val="22"/>
          <w:szCs w:val="22"/>
          <w:lang w:val="tr-TR"/>
        </w:rPr>
      </w:pPr>
      <w:r w:rsidRPr="058DFE7F" w:rsidR="16C48E9E">
        <w:rPr>
          <w:rFonts w:ascii="Arial" w:hAnsi="Arial" w:eastAsia="Arial" w:cs="Arial"/>
          <w:noProof w:val="0"/>
          <w:sz w:val="22"/>
          <w:szCs w:val="22"/>
          <w:lang w:val="tr-TR"/>
        </w:rPr>
        <w:t>The European Commission has confirmed that the Carbon Border Adjustment Mechanism (“CBAM”) will enter into force as planned on January 1, 2026. The implementation date is fixed under EU law and can only be changed through a formal proposal by the Commission, subject to the approval of both the European Parliament and the Council. No such proposal is currently under preparation.</w:t>
      </w:r>
    </w:p>
    <w:p w:rsidR="16C48E9E" w:rsidP="058DFE7F" w:rsidRDefault="16C48E9E" w14:paraId="0B149B62" w14:textId="09062C18">
      <w:pPr>
        <w:spacing w:before="240" w:beforeAutospacing="off" w:after="240" w:afterAutospacing="off"/>
        <w:jc w:val="both"/>
        <w:rPr>
          <w:rFonts w:ascii="Arial" w:hAnsi="Arial" w:eastAsia="Arial" w:cs="Arial"/>
          <w:noProof w:val="0"/>
          <w:sz w:val="22"/>
          <w:szCs w:val="22"/>
          <w:lang w:val="tr-TR"/>
        </w:rPr>
      </w:pPr>
      <w:r w:rsidRPr="058DFE7F" w:rsidR="16C48E9E">
        <w:rPr>
          <w:rFonts w:ascii="Arial" w:hAnsi="Arial" w:eastAsia="Arial" w:cs="Arial"/>
          <w:noProof w:val="0"/>
          <w:sz w:val="22"/>
          <w:szCs w:val="22"/>
          <w:lang w:val="tr-TR"/>
        </w:rPr>
        <w:t>Despite market rumours suggesting a possible delay of the definitive phase due to procedural uncertainties, the Commission has given no indication of postponement, confirming that the mechanism’s implementation will proceed as scheduled.</w:t>
      </w:r>
    </w:p>
    <w:p w:rsidR="16C48E9E" w:rsidP="058DFE7F" w:rsidRDefault="16C48E9E" w14:paraId="747CBB27" w14:textId="7FC0C86C">
      <w:pPr>
        <w:spacing w:before="240" w:beforeAutospacing="off" w:after="240" w:afterAutospacing="off"/>
        <w:jc w:val="both"/>
        <w:rPr>
          <w:rFonts w:ascii="Arial" w:hAnsi="Arial" w:eastAsia="Arial" w:cs="Arial"/>
          <w:noProof w:val="0"/>
          <w:sz w:val="22"/>
          <w:szCs w:val="22"/>
          <w:lang w:val="tr-TR"/>
        </w:rPr>
      </w:pPr>
      <w:r w:rsidRPr="058DFE7F" w:rsidR="16C48E9E">
        <w:rPr>
          <w:rFonts w:ascii="Arial" w:hAnsi="Arial" w:eastAsia="Arial" w:cs="Arial"/>
          <w:noProof w:val="0"/>
          <w:sz w:val="22"/>
          <w:szCs w:val="22"/>
          <w:lang w:val="tr-TR"/>
        </w:rPr>
        <w:t>It should also be noted that the EU has launched consultations on three key areas to finalise CBAM rules and address stakeholders’ concerns regarding the current uncertainties surrounding the mechanism. These areas are the methodology for calculating embedded emissions in goods, the treatment of free allowances under the EU Emissions Trading System (“EU ETS”), and the procedure for reducing CBAM certificate obligations where a carbon price has already been paid in the exporting country.</w:t>
      </w:r>
    </w:p>
    <w:p w:rsidR="16C48E9E" w:rsidP="058DFE7F" w:rsidRDefault="16C48E9E" w14:paraId="14D3062C" w14:textId="0E5C85D0">
      <w:pPr>
        <w:spacing w:before="240" w:beforeAutospacing="off" w:after="240" w:afterAutospacing="off"/>
        <w:jc w:val="both"/>
        <w:rPr>
          <w:rFonts w:ascii="Arial" w:hAnsi="Arial" w:eastAsia="Arial" w:cs="Arial"/>
          <w:noProof w:val="0"/>
          <w:sz w:val="22"/>
          <w:szCs w:val="22"/>
          <w:lang w:val="tr-TR"/>
        </w:rPr>
      </w:pPr>
      <w:r w:rsidRPr="058DFE7F" w:rsidR="16C48E9E">
        <w:rPr>
          <w:rFonts w:ascii="Arial" w:hAnsi="Arial" w:eastAsia="Arial" w:cs="Arial"/>
          <w:noProof w:val="0"/>
          <w:sz w:val="22"/>
          <w:szCs w:val="22"/>
          <w:lang w:val="tr-TR"/>
        </w:rPr>
        <w:t>Avrupa Komisyonu, Sınırda Karbon Düzenleme Mekanizması’nın (“SKDM”) planlandığı şekilde 1 Ocak 2026 tarihinde yürürlüğe gireceğini bir kez daha teyit etmiştir.</w:t>
      </w:r>
    </w:p>
    <w:p w:rsidR="16C48E9E" w:rsidP="058DFE7F" w:rsidRDefault="16C48E9E" w14:paraId="7D8052A4" w14:textId="4DAB974D">
      <w:pPr>
        <w:spacing w:before="240" w:beforeAutospacing="off" w:after="240" w:afterAutospacing="off"/>
        <w:jc w:val="both"/>
        <w:rPr>
          <w:rFonts w:ascii="Arial" w:hAnsi="Arial" w:eastAsia="Arial" w:cs="Arial"/>
          <w:noProof w:val="0"/>
          <w:sz w:val="22"/>
          <w:szCs w:val="22"/>
          <w:lang w:val="tr-TR"/>
        </w:rPr>
      </w:pPr>
      <w:r w:rsidRPr="058DFE7F" w:rsidR="16C48E9E">
        <w:rPr>
          <w:rFonts w:ascii="Arial" w:hAnsi="Arial" w:eastAsia="Arial" w:cs="Arial"/>
          <w:noProof w:val="0"/>
          <w:sz w:val="22"/>
          <w:szCs w:val="22"/>
          <w:lang w:val="tr-TR"/>
        </w:rPr>
        <w:t>Vergi ve Gümrük Birliği Genel Müdürlüğü (“DG TAXUD”), SKDM’nin yürürlük tarihinin AB mevzuatıyla belirlendiğini ve bu tarihin yalnızca Komisyon’un resmî teklifi ile Avrupa Parlamentosu ve Konsey’in onayı doğrultusunda değiştirilebileceğini; ancak hâlihazırda bu yönde bir hazırlığın bulunmadığını açıklamıştır.</w:t>
      </w:r>
    </w:p>
    <w:p w:rsidR="16C48E9E" w:rsidP="058DFE7F" w:rsidRDefault="16C48E9E" w14:paraId="7A7AA7D3" w14:textId="3F95FBA7">
      <w:pPr>
        <w:spacing w:before="240" w:beforeAutospacing="off" w:after="240" w:afterAutospacing="off"/>
        <w:jc w:val="both"/>
        <w:rPr>
          <w:rFonts w:ascii="Arial" w:hAnsi="Arial" w:eastAsia="Arial" w:cs="Arial"/>
          <w:noProof w:val="0"/>
          <w:sz w:val="22"/>
          <w:szCs w:val="22"/>
          <w:lang w:val="tr-TR"/>
        </w:rPr>
      </w:pPr>
      <w:r w:rsidRPr="058DFE7F" w:rsidR="16C48E9E">
        <w:rPr>
          <w:rFonts w:ascii="Arial" w:hAnsi="Arial" w:eastAsia="Arial" w:cs="Arial"/>
          <w:noProof w:val="0"/>
          <w:sz w:val="22"/>
          <w:szCs w:val="22"/>
          <w:lang w:val="tr-TR"/>
        </w:rPr>
        <w:t>AB’nin ağustos ayında, ürünlerdeki gömülü emisyonların hesaplanma yöntemi, AB ETS kapsamındaki ücretsiz tahsisatların durumu ve ihracatçı ülkede karbon fiyatı hâlihazırda ödenmişse SKDM sertifikası yükümlülüklerinin nasıl azaltılacağına ilişkin prosedürleri kapsayan üç temel alanda istişareler başlatması, mekanizmanın yürürlük tarihinin ertelenebileceği yönünde söylentilere yol açmıştır. Buna rağmen Komisyon, herhangi bir erteleme sinyali vermemiştir.</w:t>
      </w:r>
    </w:p>
    <w:p w:rsidR="058DFE7F" w:rsidP="058DFE7F" w:rsidRDefault="058DFE7F" w14:paraId="4C7552E5" w14:textId="78A0AFF5">
      <w:pPr>
        <w:pStyle w:val="paragraph"/>
        <w:spacing w:before="0" w:beforeAutospacing="off" w:after="0" w:afterAutospacing="off" w:line="276" w:lineRule="auto"/>
        <w:jc w:val="both"/>
        <w:rPr>
          <w:rStyle w:val="eop"/>
          <w:rFonts w:ascii="Arial" w:hAnsi="Arial" w:eastAsia="Arial" w:cs="Arial"/>
          <w:sz w:val="22"/>
          <w:szCs w:val="22"/>
        </w:rPr>
      </w:pPr>
    </w:p>
    <w:p w:rsidRPr="00F43810" w:rsidR="00844EDB" w:rsidP="058DFE7F" w:rsidRDefault="00844EDB" w14:paraId="26949426" w14:textId="77777777">
      <w:pPr>
        <w:spacing w:line="276" w:lineRule="auto"/>
        <w:jc w:val="both"/>
        <w:rPr>
          <w:rFonts w:ascii="Arial" w:hAnsi="Arial" w:eastAsia="Arial" w:cs="Arial"/>
          <w:sz w:val="22"/>
          <w:szCs w:val="22"/>
          <w:lang w:val="tr-TR"/>
        </w:rPr>
      </w:pPr>
      <w:r w:rsidRPr="058DFE7F">
        <w:rPr>
          <w:rFonts w:ascii="Arial" w:hAnsi="Arial" w:eastAsia="Arial" w:cs="Arial"/>
          <w:sz w:val="22"/>
          <w:szCs w:val="22"/>
          <w:lang w:val="tr-TR"/>
        </w:rPr>
        <w:br w:type="page"/>
      </w:r>
    </w:p>
    <w:p w:rsidRPr="00F43810" w:rsidR="00844EDB" w:rsidP="058DFE7F" w:rsidRDefault="00844EDB" w14:paraId="1C879407" w14:textId="1B0E1735">
      <w:pPr>
        <w:spacing w:line="276" w:lineRule="auto"/>
        <w:jc w:val="both"/>
        <w:rPr>
          <w:rFonts w:ascii="Arial" w:hAnsi="Arial" w:eastAsia="Arial" w:cs="Arial"/>
          <w:sz w:val="22"/>
          <w:szCs w:val="22"/>
          <w:lang w:val="tr-TR"/>
        </w:rPr>
      </w:pPr>
      <w:r w:rsidRPr="058DFE7F" w:rsidR="00844EDB">
        <w:rPr>
          <w:rFonts w:ascii="Arial" w:hAnsi="Arial" w:eastAsia="Arial" w:cs="Arial"/>
          <w:sz w:val="22"/>
          <w:szCs w:val="22"/>
          <w:lang w:val="tr-TR"/>
        </w:rPr>
        <w:t>OCAK 2026</w:t>
      </w:r>
    </w:p>
    <w:p w:rsidR="6663A580" w:rsidP="058DFE7F" w:rsidRDefault="6663A580" w14:paraId="3125276A" w14:textId="2791270A">
      <w:pPr>
        <w:spacing w:before="240" w:beforeAutospacing="off" w:after="240" w:afterAutospacing="off"/>
        <w:jc w:val="both"/>
        <w:rPr>
          <w:rFonts w:ascii="Arial" w:hAnsi="Arial" w:eastAsia="Arial" w:cs="Arial"/>
          <w:b w:val="1"/>
          <w:bCs w:val="1"/>
          <w:noProof w:val="0"/>
          <w:sz w:val="22"/>
          <w:szCs w:val="22"/>
          <w:lang w:val="tr-TR"/>
        </w:rPr>
      </w:pPr>
      <w:r w:rsidRPr="058DFE7F" w:rsidR="6663A580">
        <w:rPr>
          <w:rFonts w:ascii="Arial" w:hAnsi="Arial" w:eastAsia="Arial" w:cs="Arial"/>
          <w:b w:val="1"/>
          <w:bCs w:val="1"/>
          <w:noProof w:val="0"/>
          <w:sz w:val="22"/>
          <w:szCs w:val="22"/>
          <w:lang w:val="tr-TR"/>
        </w:rPr>
        <w:t>WHEN DO CARBON REGULATIONS BECOME A LEGAL RISK?</w:t>
      </w:r>
    </w:p>
    <w:p w:rsidR="6663A580" w:rsidP="058DFE7F" w:rsidRDefault="6663A580" w14:paraId="207EA980" w14:textId="0258382D">
      <w:pPr>
        <w:spacing w:before="240" w:beforeAutospacing="off" w:after="240" w:afterAutospacing="off"/>
        <w:jc w:val="both"/>
        <w:rPr>
          <w:rFonts w:ascii="Arial" w:hAnsi="Arial" w:eastAsia="Arial" w:cs="Arial"/>
          <w:noProof w:val="0"/>
          <w:sz w:val="22"/>
          <w:szCs w:val="22"/>
          <w:lang w:val="tr-TR"/>
        </w:rPr>
      </w:pPr>
      <w:r w:rsidRPr="058DFE7F" w:rsidR="6663A580">
        <w:rPr>
          <w:rFonts w:ascii="Arial" w:hAnsi="Arial" w:eastAsia="Arial" w:cs="Arial"/>
          <w:noProof w:val="0"/>
          <w:sz w:val="22"/>
          <w:szCs w:val="22"/>
          <w:lang w:val="tr-TR"/>
        </w:rPr>
        <w:t>Although carbon regulations are initially assessed within the framework of environmental policy and technical compliance, they may evolve into an area giving rise to direct legal liability for businesses once certain thresholds are exceeded. This transformation manifests differently depending on the type of regulation; financial obligations, administrative sanctions, and contractual liabilities may arise simultaneously. The points at which carbon regulations begin to generate legal risk can be clearly observed through the regulatory frameworks most commonly encountered in practice.</w:t>
      </w:r>
    </w:p>
    <w:p w:rsidR="6663A580" w:rsidP="058DFE7F" w:rsidRDefault="6663A580" w14:paraId="538C9FD0" w14:textId="09410FF0">
      <w:pPr>
        <w:spacing w:before="240" w:beforeAutospacing="off" w:after="240" w:afterAutospacing="off"/>
        <w:jc w:val="both"/>
        <w:rPr>
          <w:rFonts w:ascii="Arial" w:hAnsi="Arial" w:eastAsia="Arial" w:cs="Arial"/>
          <w:b w:val="1"/>
          <w:bCs w:val="1"/>
          <w:noProof w:val="0"/>
          <w:sz w:val="22"/>
          <w:szCs w:val="22"/>
          <w:lang w:val="tr-TR"/>
        </w:rPr>
      </w:pPr>
      <w:r w:rsidRPr="058DFE7F" w:rsidR="6663A580">
        <w:rPr>
          <w:rFonts w:ascii="Arial" w:hAnsi="Arial" w:eastAsia="Arial" w:cs="Arial"/>
          <w:b w:val="1"/>
          <w:bCs w:val="1"/>
          <w:noProof w:val="0"/>
          <w:sz w:val="22"/>
          <w:szCs w:val="22"/>
          <w:lang w:val="tr-TR"/>
        </w:rPr>
        <w:t>Carbon Pricing and Emissions Trading Systems</w:t>
      </w:r>
    </w:p>
    <w:p w:rsidR="6663A580" w:rsidP="058DFE7F" w:rsidRDefault="6663A580" w14:paraId="5DEF2B46" w14:textId="0EFD3F94">
      <w:pPr>
        <w:spacing w:before="240" w:beforeAutospacing="off" w:after="240" w:afterAutospacing="off"/>
        <w:jc w:val="both"/>
        <w:rPr>
          <w:rFonts w:ascii="Arial" w:hAnsi="Arial" w:eastAsia="Arial" w:cs="Arial"/>
          <w:noProof w:val="0"/>
          <w:sz w:val="22"/>
          <w:szCs w:val="22"/>
          <w:lang w:val="tr-TR"/>
        </w:rPr>
      </w:pPr>
      <w:r w:rsidRPr="058DFE7F" w:rsidR="6663A580">
        <w:rPr>
          <w:rFonts w:ascii="Arial" w:hAnsi="Arial" w:eastAsia="Arial" w:cs="Arial"/>
          <w:noProof w:val="0"/>
          <w:sz w:val="22"/>
          <w:szCs w:val="22"/>
          <w:lang w:val="tr-TR"/>
        </w:rPr>
        <w:t>Emissions trading systems constitute one of the first areas in which carbon regulations generate legal risk. Under these systems, businesses are allocated a specific greenhouse gas emission allowance; exceeding this allowance triggers direct financial obligations and administrative sanctions.</w:t>
      </w:r>
    </w:p>
    <w:p w:rsidR="6663A580" w:rsidP="058DFE7F" w:rsidRDefault="6663A580" w14:paraId="41CDD9DC" w14:textId="01939E74">
      <w:pPr>
        <w:spacing w:before="240" w:beforeAutospacing="off" w:after="240" w:afterAutospacing="off"/>
        <w:jc w:val="both"/>
        <w:rPr>
          <w:rFonts w:ascii="Arial" w:hAnsi="Arial" w:eastAsia="Arial" w:cs="Arial"/>
          <w:noProof w:val="0"/>
          <w:sz w:val="22"/>
          <w:szCs w:val="22"/>
          <w:lang w:val="tr-TR"/>
        </w:rPr>
      </w:pPr>
      <w:r w:rsidRPr="058DFE7F" w:rsidR="6663A580">
        <w:rPr>
          <w:rFonts w:ascii="Arial" w:hAnsi="Arial" w:eastAsia="Arial" w:cs="Arial"/>
          <w:noProof w:val="0"/>
          <w:sz w:val="22"/>
          <w:szCs w:val="22"/>
          <w:lang w:val="tr-TR"/>
        </w:rPr>
        <w:t>For companies operating under the European Union Emissions Trading System (“EU ETS”), exceeding the allocated allowance results in additional costs and penalties. In Türkiye, a pilot and preparatory phase for an Emissions Trading System is currently underway, and similar obligations are expected to arise as this process progresses.</w:t>
      </w:r>
    </w:p>
    <w:p w:rsidR="6663A580" w:rsidP="058DFE7F" w:rsidRDefault="6663A580" w14:paraId="57F81B79" w14:textId="3540E2CA">
      <w:pPr>
        <w:spacing w:before="240" w:beforeAutospacing="off" w:after="240" w:afterAutospacing="off"/>
        <w:jc w:val="both"/>
        <w:rPr>
          <w:rFonts w:ascii="Arial" w:hAnsi="Arial" w:eastAsia="Arial" w:cs="Arial"/>
          <w:noProof w:val="0"/>
          <w:sz w:val="22"/>
          <w:szCs w:val="22"/>
          <w:lang w:val="tr-TR"/>
        </w:rPr>
      </w:pPr>
      <w:r w:rsidRPr="058DFE7F" w:rsidR="6663A580">
        <w:rPr>
          <w:rFonts w:ascii="Arial" w:hAnsi="Arial" w:eastAsia="Arial" w:cs="Arial"/>
          <w:noProof w:val="0"/>
          <w:sz w:val="22"/>
          <w:szCs w:val="22"/>
          <w:lang w:val="tr-TR"/>
        </w:rPr>
        <w:t>At this point, legal risk emerges when emission levels are miscalculated or allowance management is inadequately planned. Exceeding the allowance is not treated as a mere technical deviation; it constitutes a breach with direct financial and administrative consequences.</w:t>
      </w:r>
    </w:p>
    <w:p w:rsidR="6663A580" w:rsidP="058DFE7F" w:rsidRDefault="6663A580" w14:paraId="2E278915" w14:textId="45CBC285">
      <w:pPr>
        <w:spacing w:before="240" w:beforeAutospacing="off" w:after="240" w:afterAutospacing="off"/>
        <w:jc w:val="both"/>
        <w:rPr>
          <w:rFonts w:ascii="Arial" w:hAnsi="Arial" w:eastAsia="Arial" w:cs="Arial"/>
          <w:b w:val="1"/>
          <w:bCs w:val="1"/>
          <w:noProof w:val="0"/>
          <w:sz w:val="22"/>
          <w:szCs w:val="22"/>
          <w:lang w:val="tr-TR"/>
        </w:rPr>
      </w:pPr>
      <w:r w:rsidRPr="058DFE7F" w:rsidR="6663A580">
        <w:rPr>
          <w:rFonts w:ascii="Arial" w:hAnsi="Arial" w:eastAsia="Arial" w:cs="Arial"/>
          <w:b w:val="1"/>
          <w:bCs w:val="1"/>
          <w:noProof w:val="0"/>
          <w:sz w:val="22"/>
          <w:szCs w:val="22"/>
          <w:lang w:val="tr-TR"/>
        </w:rPr>
        <w:t>Border Carbon Regulations and Import-Related Obligations</w:t>
      </w:r>
    </w:p>
    <w:p w:rsidR="6663A580" w:rsidP="058DFE7F" w:rsidRDefault="6663A580" w14:paraId="2E5179DD" w14:textId="33EFD57C">
      <w:pPr>
        <w:spacing w:before="240" w:beforeAutospacing="off" w:after="240" w:afterAutospacing="off"/>
        <w:jc w:val="both"/>
        <w:rPr>
          <w:rFonts w:ascii="Arial" w:hAnsi="Arial" w:eastAsia="Arial" w:cs="Arial"/>
          <w:noProof w:val="0"/>
          <w:sz w:val="22"/>
          <w:szCs w:val="22"/>
          <w:lang w:val="tr-TR"/>
        </w:rPr>
      </w:pPr>
      <w:r w:rsidRPr="058DFE7F" w:rsidR="6663A580">
        <w:rPr>
          <w:rFonts w:ascii="Arial" w:hAnsi="Arial" w:eastAsia="Arial" w:cs="Arial"/>
          <w:noProof w:val="0"/>
          <w:sz w:val="22"/>
          <w:szCs w:val="22"/>
          <w:lang w:val="tr-TR"/>
        </w:rPr>
        <w:t>Border carbon regulations represent one of the most visible areas in which carbon regulations turn into legal risk. Under the Carbon Border Adjustment Mechanism (“CBAM”), importers are required to declare the embedded emissions of imported goods and, under the definitive regime, to purchase corresponding certificates.</w:t>
      </w:r>
    </w:p>
    <w:p w:rsidR="6663A580" w:rsidP="058DFE7F" w:rsidRDefault="6663A580" w14:paraId="26FD5FD3" w14:textId="1F5573F6">
      <w:pPr>
        <w:spacing w:before="240" w:beforeAutospacing="off" w:after="240" w:afterAutospacing="off"/>
        <w:jc w:val="both"/>
        <w:rPr>
          <w:rFonts w:ascii="Arial" w:hAnsi="Arial" w:eastAsia="Arial" w:cs="Arial"/>
          <w:noProof w:val="0"/>
          <w:sz w:val="22"/>
          <w:szCs w:val="22"/>
          <w:lang w:val="tr-TR"/>
        </w:rPr>
      </w:pPr>
      <w:r w:rsidRPr="058DFE7F" w:rsidR="6663A580">
        <w:rPr>
          <w:rFonts w:ascii="Arial" w:hAnsi="Arial" w:eastAsia="Arial" w:cs="Arial"/>
          <w:noProof w:val="0"/>
          <w:sz w:val="22"/>
          <w:szCs w:val="22"/>
          <w:lang w:val="tr-TR"/>
        </w:rPr>
        <w:t>For businesses operating in carbon-intensive sectors such as iron and steel, cement, aluminium, fertilisers, and electricity, this framework creates a responsibility that extends throughout the supply chain. Inaccurate emission declarations, incomplete reporting, or failure to verify data obtained from suppliers may lead not only to administrative penalties but also to contractual liabilities arising from commercial agreements.</w:t>
      </w:r>
    </w:p>
    <w:p w:rsidR="6663A580" w:rsidP="058DFE7F" w:rsidRDefault="6663A580" w14:paraId="2C902897" w14:textId="19FF05FB">
      <w:pPr>
        <w:spacing w:before="240" w:beforeAutospacing="off" w:after="240" w:afterAutospacing="off"/>
        <w:jc w:val="both"/>
        <w:rPr>
          <w:rFonts w:ascii="Arial" w:hAnsi="Arial" w:eastAsia="Arial" w:cs="Arial"/>
          <w:noProof w:val="0"/>
          <w:sz w:val="22"/>
          <w:szCs w:val="22"/>
          <w:lang w:val="tr-TR"/>
        </w:rPr>
      </w:pPr>
      <w:r w:rsidRPr="058DFE7F" w:rsidR="6663A580">
        <w:rPr>
          <w:rFonts w:ascii="Arial" w:hAnsi="Arial" w:eastAsia="Arial" w:cs="Arial"/>
          <w:noProof w:val="0"/>
          <w:sz w:val="22"/>
          <w:szCs w:val="22"/>
          <w:lang w:val="tr-TR"/>
        </w:rPr>
        <w:t>At this stage, carbon regulation becomes an integral part of the import process. Incorrect declarations generate dispute risks not only with public authorities but also with contractual counterparties.</w:t>
      </w:r>
    </w:p>
    <w:p w:rsidR="6663A580" w:rsidP="058DFE7F" w:rsidRDefault="6663A580" w14:paraId="3AD767DB" w14:textId="03F969BA">
      <w:pPr>
        <w:spacing w:before="240" w:beforeAutospacing="off" w:after="240" w:afterAutospacing="off"/>
        <w:jc w:val="both"/>
        <w:rPr>
          <w:rFonts w:ascii="Arial" w:hAnsi="Arial" w:eastAsia="Arial" w:cs="Arial"/>
          <w:b w:val="1"/>
          <w:bCs w:val="1"/>
          <w:noProof w:val="0"/>
          <w:sz w:val="22"/>
          <w:szCs w:val="22"/>
          <w:lang w:val="tr-TR"/>
        </w:rPr>
      </w:pPr>
      <w:r w:rsidRPr="058DFE7F" w:rsidR="6663A580">
        <w:rPr>
          <w:rFonts w:ascii="Arial" w:hAnsi="Arial" w:eastAsia="Arial" w:cs="Arial"/>
          <w:b w:val="1"/>
          <w:bCs w:val="1"/>
          <w:noProof w:val="0"/>
          <w:sz w:val="22"/>
          <w:szCs w:val="22"/>
          <w:lang w:val="tr-TR"/>
        </w:rPr>
        <w:t>Corporate Carbon and Sustainability Reporting</w:t>
      </w:r>
    </w:p>
    <w:p w:rsidR="6663A580" w:rsidP="058DFE7F" w:rsidRDefault="6663A580" w14:paraId="5607CA45" w14:textId="3F9D50FB">
      <w:pPr>
        <w:spacing w:before="240" w:beforeAutospacing="off" w:after="240" w:afterAutospacing="off"/>
        <w:jc w:val="both"/>
        <w:rPr>
          <w:rFonts w:ascii="Arial" w:hAnsi="Arial" w:eastAsia="Arial" w:cs="Arial"/>
          <w:noProof w:val="0"/>
          <w:sz w:val="22"/>
          <w:szCs w:val="22"/>
          <w:lang w:val="tr-TR"/>
        </w:rPr>
      </w:pPr>
      <w:r w:rsidRPr="058DFE7F" w:rsidR="6663A580">
        <w:rPr>
          <w:rFonts w:ascii="Arial" w:hAnsi="Arial" w:eastAsia="Arial" w:cs="Arial"/>
          <w:noProof w:val="0"/>
          <w:sz w:val="22"/>
          <w:szCs w:val="22"/>
          <w:lang w:val="tr-TR"/>
        </w:rPr>
        <w:t>Corporate reporting requirements constitute another critical area in which carbon regulations generate legal risk. Within the scope of mandatory sustainability and emissions reporting, companies are required to disclose their corporate emission data. This obligation is not merely a technical reporting exercise; it is a process that gives rise to responsibility at the management level.</w:t>
      </w:r>
    </w:p>
    <w:p w:rsidR="6663A580" w:rsidP="058DFE7F" w:rsidRDefault="6663A580" w14:paraId="3ECC83D3" w14:textId="44C5B6BB">
      <w:pPr>
        <w:spacing w:before="240" w:beforeAutospacing="off" w:after="240" w:afterAutospacing="off"/>
        <w:jc w:val="both"/>
        <w:rPr>
          <w:rFonts w:ascii="Arial" w:hAnsi="Arial" w:eastAsia="Arial" w:cs="Arial"/>
          <w:noProof w:val="0"/>
          <w:sz w:val="22"/>
          <w:szCs w:val="22"/>
          <w:lang w:val="tr-TR"/>
        </w:rPr>
      </w:pPr>
      <w:r w:rsidRPr="058DFE7F" w:rsidR="6663A580">
        <w:rPr>
          <w:rFonts w:ascii="Arial" w:hAnsi="Arial" w:eastAsia="Arial" w:cs="Arial"/>
          <w:noProof w:val="0"/>
          <w:sz w:val="22"/>
          <w:szCs w:val="22"/>
          <w:lang w:val="tr-TR"/>
        </w:rPr>
        <w:t>Disclosures made under the European Union Corporate Sustainability Reporting Directive (“CSRD”) and the Turkish Sustainability Reporting Standards (“TSRS”) directly affect a company’s legal exposure. Incorrect, incomplete, or inconsistent reporting may trigger audit processes and increase the risk of legal liability.</w:t>
      </w:r>
    </w:p>
    <w:p w:rsidR="6663A580" w:rsidP="058DFE7F" w:rsidRDefault="6663A580" w14:paraId="49CB9A10" w14:textId="0BBC254B">
      <w:pPr>
        <w:spacing w:before="240" w:beforeAutospacing="off" w:after="240" w:afterAutospacing="off"/>
        <w:jc w:val="both"/>
        <w:rPr>
          <w:rFonts w:ascii="Arial" w:hAnsi="Arial" w:eastAsia="Arial" w:cs="Arial"/>
          <w:noProof w:val="0"/>
          <w:sz w:val="22"/>
          <w:szCs w:val="22"/>
          <w:lang w:val="tr-TR"/>
        </w:rPr>
      </w:pPr>
      <w:r w:rsidRPr="058DFE7F" w:rsidR="6663A580">
        <w:rPr>
          <w:rFonts w:ascii="Arial" w:hAnsi="Arial" w:eastAsia="Arial" w:cs="Arial"/>
          <w:noProof w:val="0"/>
          <w:sz w:val="22"/>
          <w:szCs w:val="22"/>
          <w:lang w:val="tr-TR"/>
        </w:rPr>
        <w:t>At this point, carbon regulations move beyond environmental compliance and become directly linked to governance and board-level responsibility.</w:t>
      </w:r>
    </w:p>
    <w:p w:rsidR="6663A580" w:rsidP="058DFE7F" w:rsidRDefault="6663A580" w14:paraId="6019F75D" w14:textId="6A047A83">
      <w:pPr>
        <w:spacing w:before="240" w:beforeAutospacing="off" w:after="240" w:afterAutospacing="off"/>
        <w:jc w:val="both"/>
        <w:rPr>
          <w:rFonts w:ascii="Arial" w:hAnsi="Arial" w:eastAsia="Arial" w:cs="Arial"/>
          <w:b w:val="1"/>
          <w:bCs w:val="1"/>
          <w:noProof w:val="0"/>
          <w:sz w:val="22"/>
          <w:szCs w:val="22"/>
          <w:lang w:val="tr-TR"/>
        </w:rPr>
      </w:pPr>
      <w:r w:rsidRPr="058DFE7F" w:rsidR="6663A580">
        <w:rPr>
          <w:rFonts w:ascii="Arial" w:hAnsi="Arial" w:eastAsia="Arial" w:cs="Arial"/>
          <w:b w:val="1"/>
          <w:bCs w:val="1"/>
          <w:noProof w:val="0"/>
          <w:sz w:val="22"/>
          <w:szCs w:val="22"/>
          <w:lang w:val="tr-TR"/>
        </w:rPr>
        <w:t>Brief Assessment</w:t>
      </w:r>
    </w:p>
    <w:p w:rsidR="6663A580" w:rsidP="058DFE7F" w:rsidRDefault="6663A580" w14:paraId="5D147F83" w14:textId="4D9A7CD0">
      <w:pPr>
        <w:spacing w:before="240" w:beforeAutospacing="off" w:after="240" w:afterAutospacing="off"/>
        <w:jc w:val="both"/>
        <w:rPr>
          <w:rFonts w:ascii="Arial" w:hAnsi="Arial" w:eastAsia="Arial" w:cs="Arial"/>
          <w:noProof w:val="0"/>
          <w:sz w:val="22"/>
          <w:szCs w:val="22"/>
          <w:lang w:val="tr-TR"/>
        </w:rPr>
      </w:pPr>
      <w:r w:rsidRPr="058DFE7F" w:rsidR="6663A580">
        <w:rPr>
          <w:rFonts w:ascii="Arial" w:hAnsi="Arial" w:eastAsia="Arial" w:cs="Arial"/>
          <w:noProof w:val="0"/>
          <w:sz w:val="22"/>
          <w:szCs w:val="22"/>
          <w:lang w:val="tr-TR"/>
        </w:rPr>
        <w:t>Carbon regulations become a legal risk when they give rise to financial obligations through emissions trading systems, are integrated into import processes through border carbon mechanisms, and are embedded into management responsibility through corporate reporting obligations.</w:t>
      </w:r>
    </w:p>
    <w:p w:rsidR="6663A580" w:rsidP="058DFE7F" w:rsidRDefault="6663A580" w14:paraId="72E135D7" w14:textId="17BB9874">
      <w:pPr>
        <w:spacing w:before="240" w:beforeAutospacing="off" w:after="240" w:afterAutospacing="off"/>
        <w:jc w:val="both"/>
        <w:rPr>
          <w:rFonts w:ascii="Arial" w:hAnsi="Arial" w:eastAsia="Arial" w:cs="Arial"/>
          <w:noProof w:val="0"/>
          <w:sz w:val="22"/>
          <w:szCs w:val="22"/>
          <w:lang w:val="tr-TR"/>
        </w:rPr>
      </w:pPr>
      <w:r w:rsidRPr="058DFE7F" w:rsidR="6663A580">
        <w:rPr>
          <w:rFonts w:ascii="Arial" w:hAnsi="Arial" w:eastAsia="Arial" w:cs="Arial"/>
          <w:noProof w:val="0"/>
          <w:sz w:val="22"/>
          <w:szCs w:val="22"/>
          <w:lang w:val="tr-TR"/>
        </w:rPr>
        <w:t>Beyond these thresholds, the issue extends beyond technical compliance and must be assessed as a legal risk area encompassing administrative sanctions, contractual liabilities, and governance-related obligations.</w:t>
      </w:r>
    </w:p>
    <w:p w:rsidR="058DFE7F" w:rsidP="058DFE7F" w:rsidRDefault="058DFE7F" w14:paraId="596AB26F" w14:textId="4A9B5759">
      <w:pPr>
        <w:pStyle w:val="paragraph"/>
        <w:spacing w:before="0" w:beforeAutospacing="off" w:after="0" w:afterAutospacing="off" w:line="276" w:lineRule="auto"/>
        <w:jc w:val="both"/>
        <w:rPr>
          <w:rStyle w:val="eop"/>
          <w:rFonts w:ascii="Arial" w:hAnsi="Arial" w:eastAsia="Arial" w:cs="Arial"/>
          <w:color w:val="000000" w:themeColor="text1" w:themeTint="FF" w:themeShade="FF"/>
          <w:sz w:val="22"/>
          <w:szCs w:val="22"/>
        </w:rPr>
      </w:pPr>
    </w:p>
    <w:p w:rsidRPr="00F43810" w:rsidR="00844EDB" w:rsidP="058DFE7F" w:rsidRDefault="00844EDB" w14:paraId="4A4CD987" w14:textId="77777777">
      <w:pPr>
        <w:pStyle w:val="paragraph"/>
        <w:spacing w:before="0" w:beforeAutospacing="off" w:after="0" w:afterAutospacing="off" w:line="276" w:lineRule="auto"/>
        <w:jc w:val="both"/>
        <w:textAlignment w:val="baseline"/>
        <w:rPr>
          <w:rStyle w:val="eop"/>
          <w:rFonts w:ascii="Arial" w:hAnsi="Arial" w:eastAsia="Arial" w:cs="Arial"/>
          <w:color w:val="000000" w:themeColor="text1" w:themeTint="FF" w:themeShade="FF"/>
          <w:sz w:val="22"/>
          <w:szCs w:val="22"/>
        </w:rPr>
      </w:pPr>
      <w:r w:rsidRPr="058DFE7F" w:rsidR="00844EDB">
        <w:rPr>
          <w:rStyle w:val="eop"/>
          <w:rFonts w:ascii="Arial" w:hAnsi="Arial" w:eastAsia="Arial" w:cs="Arial"/>
          <w:color w:val="000000" w:themeColor="text1" w:themeTint="FF" w:themeShade="FF"/>
          <w:sz w:val="22"/>
          <w:szCs w:val="22"/>
        </w:rPr>
        <w:t> </w:t>
      </w:r>
    </w:p>
    <w:p w:rsidRPr="00F43810" w:rsidR="00844EDB" w:rsidP="058DFE7F" w:rsidRDefault="00844EDB" w14:paraId="18DDA536" w14:textId="77777777">
      <w:pPr>
        <w:spacing w:line="276" w:lineRule="auto"/>
        <w:jc w:val="both"/>
        <w:rPr>
          <w:rFonts w:ascii="Arial" w:hAnsi="Arial" w:eastAsia="Arial" w:cs="Arial"/>
          <w:sz w:val="22"/>
          <w:szCs w:val="22"/>
          <w:lang w:val="tr-TR"/>
        </w:rPr>
      </w:pPr>
      <w:r w:rsidRPr="058DFE7F">
        <w:rPr>
          <w:rFonts w:ascii="Arial" w:hAnsi="Arial" w:eastAsia="Arial" w:cs="Arial"/>
          <w:sz w:val="22"/>
          <w:szCs w:val="22"/>
          <w:lang w:val="tr-TR"/>
        </w:rPr>
        <w:br w:type="page"/>
      </w:r>
    </w:p>
    <w:p w:rsidRPr="00F43810" w:rsidR="00F36B53" w:rsidP="058DFE7F" w:rsidRDefault="00F36B53" w14:paraId="383584EC" w14:textId="77777777">
      <w:pPr>
        <w:spacing w:line="276" w:lineRule="auto"/>
        <w:jc w:val="both"/>
        <w:rPr>
          <w:rFonts w:ascii="Arial" w:hAnsi="Arial" w:eastAsia="Arial" w:cs="Arial"/>
          <w:sz w:val="22"/>
          <w:szCs w:val="22"/>
          <w:lang w:val="tr-TR"/>
        </w:rPr>
      </w:pPr>
    </w:p>
    <w:p w:rsidRPr="00F43810" w:rsidR="00F36B53" w:rsidP="058DFE7F" w:rsidRDefault="00F36B53" w14:paraId="1539C3F1" w14:textId="1098D664">
      <w:pPr>
        <w:spacing w:line="276" w:lineRule="auto"/>
        <w:jc w:val="both"/>
        <w:rPr>
          <w:rFonts w:ascii="Arial" w:hAnsi="Arial" w:eastAsia="Arial" w:cs="Arial"/>
          <w:sz w:val="22"/>
          <w:szCs w:val="22"/>
          <w:lang w:val="tr-TR"/>
        </w:rPr>
      </w:pPr>
      <w:r w:rsidRPr="058DFE7F" w:rsidR="00F36B53">
        <w:rPr>
          <w:rFonts w:ascii="Arial" w:hAnsi="Arial" w:eastAsia="Arial" w:cs="Arial"/>
          <w:sz w:val="22"/>
          <w:szCs w:val="22"/>
          <w:lang w:val="tr-TR"/>
        </w:rPr>
        <w:t>ŞUBAT 2026</w:t>
      </w:r>
    </w:p>
    <w:p w:rsidR="3200BD66" w:rsidP="058DFE7F" w:rsidRDefault="3200BD66" w14:paraId="4033E4B1" w14:textId="10900809">
      <w:pPr>
        <w:spacing w:before="240" w:beforeAutospacing="off" w:after="240" w:afterAutospacing="off"/>
        <w:jc w:val="both"/>
        <w:rPr>
          <w:rFonts w:ascii="Arial" w:hAnsi="Arial" w:eastAsia="Arial" w:cs="Arial"/>
          <w:b w:val="1"/>
          <w:bCs w:val="1"/>
          <w:noProof/>
          <w:sz w:val="22"/>
          <w:szCs w:val="22"/>
          <w:lang w:val="tr-TR"/>
        </w:rPr>
      </w:pPr>
      <w:r w:rsidRPr="058DFE7F" w:rsidR="3200BD66">
        <w:rPr>
          <w:rFonts w:ascii="Arial" w:hAnsi="Arial" w:eastAsia="Arial" w:cs="Arial"/>
          <w:b w:val="1"/>
          <w:bCs w:val="1"/>
          <w:noProof/>
          <w:sz w:val="22"/>
          <w:szCs w:val="22"/>
          <w:lang w:val="tr-TR"/>
        </w:rPr>
        <w:t>SÜRDÜRÜLEBİLİRLİK HUKUKU SERİSİ #10 – CBAM UYGULAMA DÖNEMİ BAŞLADI</w:t>
      </w:r>
    </w:p>
    <w:p w:rsidR="3200BD66" w:rsidP="058DFE7F" w:rsidRDefault="3200BD66" w14:paraId="1CDDD82D" w14:textId="5F0CECFD">
      <w:pPr>
        <w:spacing w:before="240" w:beforeAutospacing="off" w:after="240" w:afterAutospacing="off"/>
        <w:jc w:val="both"/>
        <w:rPr>
          <w:rFonts w:ascii="Arial" w:hAnsi="Arial" w:eastAsia="Arial" w:cs="Arial"/>
          <w:noProof/>
          <w:sz w:val="22"/>
          <w:szCs w:val="22"/>
          <w:lang w:val="tr-TR"/>
        </w:rPr>
      </w:pPr>
      <w:r w:rsidRPr="058DFE7F" w:rsidR="3200BD66">
        <w:rPr>
          <w:rFonts w:ascii="Arial" w:hAnsi="Arial" w:eastAsia="Arial" w:cs="Arial"/>
          <w:noProof/>
          <w:sz w:val="22"/>
          <w:szCs w:val="22"/>
          <w:lang w:val="tr-TR"/>
        </w:rPr>
        <w:t>Avrupa Birliği’nin iklim politikaları kapsamında hayata geçirilen Sınırda Karbon Düzenleme Mekanizması (“CBAM”), 1 Ocak 2026 itibarıyla kesin uygulama dönemine geçmiştir. Bu tarih, uzun süredir devam eden geçiş sürecinin sona erdiğini ve CBAM’ın hukuki, mali ve idari sonuçlarının fiilen yürürlüğe girdiğini göstermektedir. CBAM, iklim politikalarının ticaret hukukuyla kesiştiği en kapsamlı düzenlemelerden biri olarak, küresel tedarik zincirlerinde yeni bir uyum dönemini başlatmaktadır.</w:t>
      </w:r>
    </w:p>
    <w:p w:rsidR="3200BD66" w:rsidP="058DFE7F" w:rsidRDefault="3200BD66" w14:paraId="0A56C588" w14:textId="71E8ECC1">
      <w:pPr>
        <w:spacing w:before="240" w:beforeAutospacing="off" w:after="240" w:afterAutospacing="off"/>
        <w:jc w:val="both"/>
        <w:rPr>
          <w:rFonts w:ascii="Arial" w:hAnsi="Arial" w:eastAsia="Arial" w:cs="Arial"/>
          <w:b w:val="1"/>
          <w:bCs w:val="1"/>
          <w:noProof/>
          <w:sz w:val="22"/>
          <w:szCs w:val="22"/>
          <w:lang w:val="tr-TR"/>
        </w:rPr>
      </w:pPr>
      <w:r w:rsidRPr="058DFE7F" w:rsidR="3200BD66">
        <w:rPr>
          <w:rFonts w:ascii="Arial" w:hAnsi="Arial" w:eastAsia="Arial" w:cs="Arial"/>
          <w:b w:val="1"/>
          <w:bCs w:val="1"/>
          <w:noProof/>
          <w:sz w:val="22"/>
          <w:szCs w:val="22"/>
          <w:lang w:val="tr-TR"/>
        </w:rPr>
        <w:t>Uygulama Dönemine Geçişin Hukuki Anlamı</w:t>
      </w:r>
    </w:p>
    <w:p w:rsidR="3200BD66" w:rsidP="058DFE7F" w:rsidRDefault="3200BD66" w14:paraId="1E33D272" w14:textId="12FA3954">
      <w:pPr>
        <w:spacing w:before="240" w:beforeAutospacing="off" w:after="240" w:afterAutospacing="off"/>
        <w:jc w:val="both"/>
        <w:rPr>
          <w:rFonts w:ascii="Arial" w:hAnsi="Arial" w:eastAsia="Arial" w:cs="Arial"/>
          <w:noProof/>
          <w:sz w:val="22"/>
          <w:szCs w:val="22"/>
          <w:lang w:val="tr-TR"/>
        </w:rPr>
      </w:pPr>
      <w:r w:rsidRPr="058DFE7F" w:rsidR="3200BD66">
        <w:rPr>
          <w:rFonts w:ascii="Arial" w:hAnsi="Arial" w:eastAsia="Arial" w:cs="Arial"/>
          <w:noProof/>
          <w:sz w:val="22"/>
          <w:szCs w:val="22"/>
          <w:lang w:val="tr-TR"/>
        </w:rPr>
        <w:t>Geçiş döneminde ağırlıklı olarak raporlama yükümlülükleri öne çıkarken, 2026 itibarıyla CBAM doğrudan gümrük süreçlerine entegre edilen bir düzenleme hâline gelmiştir. İthalat işlemleri sırasında CBAM yetkilendirmesinin gümrük idareleri tarafından serbest dolaşıma girişten önce kontrol edilmesi, mekanizmanın yalnızca çevresel bir araç olmaktan çıkarak gümrük ve ticaret hukukunun ayrılmaz bir parçası hâline geldiğini göstermektedir. Bu aşamada CBAM; beyan, doğrulama ve mali yükümlülükleri birlikte içeren bütüncül bir uyum sistemi olarak işlemektedir.</w:t>
      </w:r>
    </w:p>
    <w:p w:rsidR="3200BD66" w:rsidP="058DFE7F" w:rsidRDefault="3200BD66" w14:paraId="4365D5A2" w14:textId="1A64481D">
      <w:pPr>
        <w:spacing w:before="240" w:beforeAutospacing="off" w:after="240" w:afterAutospacing="off"/>
        <w:jc w:val="both"/>
        <w:rPr>
          <w:rFonts w:ascii="Arial" w:hAnsi="Arial" w:eastAsia="Arial" w:cs="Arial"/>
          <w:b w:val="1"/>
          <w:bCs w:val="1"/>
          <w:noProof/>
          <w:sz w:val="22"/>
          <w:szCs w:val="22"/>
          <w:lang w:val="tr-TR"/>
        </w:rPr>
      </w:pPr>
      <w:r w:rsidRPr="058DFE7F" w:rsidR="3200BD66">
        <w:rPr>
          <w:rFonts w:ascii="Arial" w:hAnsi="Arial" w:eastAsia="Arial" w:cs="Arial"/>
          <w:b w:val="1"/>
          <w:bCs w:val="1"/>
          <w:noProof/>
          <w:sz w:val="22"/>
          <w:szCs w:val="22"/>
          <w:lang w:val="tr-TR"/>
        </w:rPr>
        <w:t>Dijital Altyapı ve Gümrük Entegrasyonu</w:t>
      </w:r>
    </w:p>
    <w:p w:rsidR="3200BD66" w:rsidP="058DFE7F" w:rsidRDefault="3200BD66" w14:paraId="4406A0BE" w14:textId="5339CFF1">
      <w:pPr>
        <w:spacing w:before="240" w:beforeAutospacing="off" w:after="240" w:afterAutospacing="off"/>
        <w:jc w:val="both"/>
        <w:rPr>
          <w:rFonts w:ascii="Arial" w:hAnsi="Arial" w:eastAsia="Arial" w:cs="Arial"/>
          <w:noProof/>
          <w:sz w:val="22"/>
          <w:szCs w:val="22"/>
          <w:lang w:val="tr-TR"/>
        </w:rPr>
      </w:pPr>
      <w:r w:rsidRPr="058DFE7F" w:rsidR="3200BD66">
        <w:rPr>
          <w:rFonts w:ascii="Arial" w:hAnsi="Arial" w:eastAsia="Arial" w:cs="Arial"/>
          <w:noProof/>
          <w:sz w:val="22"/>
          <w:szCs w:val="22"/>
          <w:lang w:val="tr-TR"/>
        </w:rPr>
        <w:t>CBAM uygulama döneminin dikkat çeken yönlerinden biri, mekanizmanın dijital altyapı ile eş zamanlı olarak devreye alınmış olmasıdır. CBAM Kayıt Sistemi’nin ulusal gümrük ithalat sistemleri, TARIC ve AB Gümrük Tek Pencere sistemi ile tam entegre biçimde çalışması, ithalat süreçlerinde kesinti yaşanmadan veri paylaşımını mümkün kılmaktadır. Bu entegrasyon sayesinde CBAM kapsamındaki ithalat beyannameleri gerçek zamanlı olarak doğrulanmakta ve yetkilendirilmiş beyan sahipleri otomatik sistemler üzerinden kontrol edilmektedir. Ulusal otoriteler tarafından bildirilen istikrarlı işlem süreleri, bu altyapının fiilen işler hâlde olduğunu ortaya koymaktadır.</w:t>
      </w:r>
    </w:p>
    <w:p w:rsidR="3200BD66" w:rsidP="058DFE7F" w:rsidRDefault="3200BD66" w14:paraId="453DACE9" w14:textId="231D67B2">
      <w:pPr>
        <w:spacing w:before="240" w:beforeAutospacing="off" w:after="240" w:afterAutospacing="off"/>
        <w:jc w:val="both"/>
        <w:rPr>
          <w:rFonts w:ascii="Arial" w:hAnsi="Arial" w:eastAsia="Arial" w:cs="Arial"/>
          <w:b w:val="1"/>
          <w:bCs w:val="1"/>
          <w:noProof/>
          <w:sz w:val="22"/>
          <w:szCs w:val="22"/>
          <w:lang w:val="tr-TR"/>
        </w:rPr>
      </w:pPr>
      <w:r w:rsidRPr="058DFE7F" w:rsidR="3200BD66">
        <w:rPr>
          <w:rFonts w:ascii="Arial" w:hAnsi="Arial" w:eastAsia="Arial" w:cs="Arial"/>
          <w:b w:val="1"/>
          <w:bCs w:val="1"/>
          <w:noProof/>
          <w:sz w:val="22"/>
          <w:szCs w:val="22"/>
          <w:lang w:val="tr-TR"/>
        </w:rPr>
        <w:t>Yetkilendirme, Eşik Değer ve KOBİ Boyutu</w:t>
      </w:r>
    </w:p>
    <w:p w:rsidR="3200BD66" w:rsidP="058DFE7F" w:rsidRDefault="3200BD66" w14:paraId="030B46DA" w14:textId="1A13437E">
      <w:pPr>
        <w:spacing w:before="240" w:beforeAutospacing="off" w:after="240" w:afterAutospacing="off"/>
        <w:jc w:val="both"/>
        <w:rPr>
          <w:rFonts w:ascii="Arial" w:hAnsi="Arial" w:eastAsia="Arial" w:cs="Arial"/>
          <w:noProof/>
          <w:sz w:val="22"/>
          <w:szCs w:val="22"/>
          <w:lang w:val="tr-TR"/>
        </w:rPr>
      </w:pPr>
      <w:r w:rsidRPr="058DFE7F" w:rsidR="3200BD66">
        <w:rPr>
          <w:rFonts w:ascii="Arial" w:hAnsi="Arial" w:eastAsia="Arial" w:cs="Arial"/>
          <w:noProof/>
          <w:sz w:val="22"/>
          <w:szCs w:val="22"/>
          <w:lang w:val="tr-TR"/>
        </w:rPr>
        <w:t>Uygulama dönemiyle birlikte CBAM yetkilendirmesi, ithalatçılar açısından merkezi bir hukuki zorunluluk hâline gelmiştir. 50 tonluk yıllık eşik değer, gümrük makamları tarafından izlenmekte ve bu eşik altında kalan ithalatlar için muafiyet rejimi uygulanmaktadır. Bununla birlikte, Omnibus paketi çerçevesinde küçük ve orta ölçekli ithalatçılara yönelik kolaylaştırıcı düzenlemeler de devreye alınmıştır. Bu yapı, CBAM’ın ticareti sekteye uğratmadan uygulanması hedefinin hukuki zemine yansıtıldığını göstermektedir.</w:t>
      </w:r>
    </w:p>
    <w:p w:rsidR="3200BD66" w:rsidP="058DFE7F" w:rsidRDefault="3200BD66" w14:paraId="273C7D14" w14:textId="5CA4A656">
      <w:pPr>
        <w:spacing w:before="240" w:beforeAutospacing="off" w:after="240" w:afterAutospacing="off"/>
        <w:jc w:val="both"/>
        <w:rPr>
          <w:rFonts w:ascii="Arial" w:hAnsi="Arial" w:eastAsia="Arial" w:cs="Arial"/>
          <w:b w:val="1"/>
          <w:bCs w:val="1"/>
          <w:noProof/>
          <w:sz w:val="22"/>
          <w:szCs w:val="22"/>
          <w:lang w:val="tr-TR"/>
        </w:rPr>
      </w:pPr>
      <w:r w:rsidRPr="058DFE7F" w:rsidR="3200BD66">
        <w:rPr>
          <w:rFonts w:ascii="Arial" w:hAnsi="Arial" w:eastAsia="Arial" w:cs="Arial"/>
          <w:b w:val="1"/>
          <w:bCs w:val="1"/>
          <w:noProof/>
          <w:sz w:val="22"/>
          <w:szCs w:val="22"/>
          <w:lang w:val="tr-TR"/>
        </w:rPr>
        <w:t>Uygulamanın İlk Verileri Ne Söylüyor?</w:t>
      </w:r>
    </w:p>
    <w:p w:rsidR="3200BD66" w:rsidP="058DFE7F" w:rsidRDefault="3200BD66" w14:paraId="48013FEC" w14:textId="5FD9F217">
      <w:pPr>
        <w:spacing w:before="240" w:beforeAutospacing="off" w:after="240" w:afterAutospacing="off"/>
        <w:jc w:val="both"/>
        <w:rPr>
          <w:rFonts w:ascii="Arial" w:hAnsi="Arial" w:eastAsia="Arial" w:cs="Arial"/>
          <w:noProof/>
          <w:sz w:val="22"/>
          <w:szCs w:val="22"/>
          <w:lang w:val="tr-TR"/>
        </w:rPr>
      </w:pPr>
      <w:r w:rsidRPr="058DFE7F" w:rsidR="3200BD66">
        <w:rPr>
          <w:rFonts w:ascii="Arial" w:hAnsi="Arial" w:eastAsia="Arial" w:cs="Arial"/>
          <w:noProof/>
          <w:sz w:val="22"/>
          <w:szCs w:val="22"/>
          <w:lang w:val="tr-TR"/>
        </w:rPr>
        <w:t>CBAM’ın 1 Ocak 2026 itibarıyla yürürlüğe girmesinin ardından elde edilen ilk operasyonel veriler, mekanizmanın teknik ve idari açıdan fiilen çalıştığını açık biçimde ortaya koymaktadır. Uygulamanın ilk günlerinde, Avrupa Birliği genelinde on iki bini aşkın ekonomik operatörün CBAM yetkilendirmesi için başvuruda bulunduğu görülmektedir. Bu başvuruların dört binden fazlası, uygulama tarihinden önce veya hemen sonrasında yetkilendirilmiş beyan sahibi statüsü ile sonuçlanmıştır. Bu tablo, ithalatçıların önemli bir bölümünün uygulama dönemine hazırlıklı girdiğini göstermektedir.</w:t>
      </w:r>
    </w:p>
    <w:p w:rsidR="3200BD66" w:rsidP="058DFE7F" w:rsidRDefault="3200BD66" w14:paraId="66573459" w14:textId="06D7F9B7">
      <w:pPr>
        <w:spacing w:before="240" w:beforeAutospacing="off" w:after="240" w:afterAutospacing="off"/>
        <w:jc w:val="both"/>
        <w:rPr>
          <w:rFonts w:ascii="Arial" w:hAnsi="Arial" w:eastAsia="Arial" w:cs="Arial"/>
          <w:noProof/>
          <w:sz w:val="22"/>
          <w:szCs w:val="22"/>
          <w:lang w:val="tr-TR"/>
        </w:rPr>
      </w:pPr>
      <w:r w:rsidRPr="058DFE7F" w:rsidR="3200BD66">
        <w:rPr>
          <w:rFonts w:ascii="Arial" w:hAnsi="Arial" w:eastAsia="Arial" w:cs="Arial"/>
          <w:noProof/>
          <w:sz w:val="22"/>
          <w:szCs w:val="22"/>
          <w:lang w:val="tr-TR"/>
        </w:rPr>
        <w:t>1 Ocak ile 7 Ocak 2026 tarihleri arasında, CBAM kapsamındaki on bini aşkın ithalat gümrük beyannamesi entegre gümrük sistemleri üzerinden otomatik ve gerçek zamanlı olarak doğrulanmıştır. Ulusal otoriteler tarafından bildirilen işlem sürelerinin istikrarlı seyretmesi, CBAM Kayıt Sistemi’nin ulusal gümrük altyapılarıyla kurulan entegrasyonunun pratikte sorunsuz şekilde işlediğini ortaya koymaktadır. Bu durum, CBAM’ın gümrük işlemlerinde aksama yaratmadan uygulanabildiğini göstermesi bakımından önem taşımaktadır.</w:t>
      </w:r>
    </w:p>
    <w:p w:rsidR="3200BD66" w:rsidP="058DFE7F" w:rsidRDefault="3200BD66" w14:paraId="3344B82E" w14:textId="68A5B79B">
      <w:pPr>
        <w:spacing w:before="240" w:beforeAutospacing="off" w:after="240" w:afterAutospacing="off"/>
        <w:jc w:val="both"/>
        <w:rPr>
          <w:rFonts w:ascii="Arial" w:hAnsi="Arial" w:eastAsia="Arial" w:cs="Arial"/>
          <w:noProof/>
          <w:sz w:val="22"/>
          <w:szCs w:val="22"/>
          <w:lang w:val="tr-TR"/>
        </w:rPr>
      </w:pPr>
      <w:r w:rsidRPr="058DFE7F" w:rsidR="3200BD66">
        <w:rPr>
          <w:rFonts w:ascii="Arial" w:hAnsi="Arial" w:eastAsia="Arial" w:cs="Arial"/>
          <w:noProof/>
          <w:sz w:val="22"/>
          <w:szCs w:val="22"/>
          <w:lang w:val="tr-TR"/>
        </w:rPr>
        <w:t>İlk raporlama penceresinde beyan edilen toplam ithalat hacmi 1.655.613 ton seviyesine ulaşmıştır. Bu hacmin sektörel dağılımı incelendiğinde, demir ve çelik ürünlerinin toplam CBAM kapsamlı hacmin yaklaşık yüzde doksan sekizini oluşturduğu görülmektedir. Alüminyum, gübre ve çimento sektörleri daha sınırlı oranlarla temsil edilirken, elektrik ve hidrojen ithalatına ilişkin verilerin henüz sınırlı olduğu ve veri akışının tamamlanmasıyla bu kalemlerin görünür hâle geleceği değerlendirilmektedir. Bu dağılım, CBAM’ın kısa vadede özellikle emisyon yoğun sanayi kolları üzerinde etkili bir araç olarak konumlandığını ortaya koymaktadır.</w:t>
      </w:r>
    </w:p>
    <w:p w:rsidR="3200BD66" w:rsidP="058DFE7F" w:rsidRDefault="3200BD66" w14:paraId="1B4755FA" w14:textId="186F75BD">
      <w:pPr>
        <w:spacing w:before="240" w:beforeAutospacing="off" w:after="240" w:afterAutospacing="off"/>
        <w:jc w:val="both"/>
        <w:rPr>
          <w:rFonts w:ascii="Arial" w:hAnsi="Arial" w:eastAsia="Arial" w:cs="Arial"/>
          <w:noProof/>
          <w:sz w:val="22"/>
          <w:szCs w:val="22"/>
          <w:lang w:val="tr-TR"/>
        </w:rPr>
      </w:pPr>
      <w:r w:rsidRPr="058DFE7F" w:rsidR="3200BD66">
        <w:rPr>
          <w:rFonts w:ascii="Arial" w:hAnsi="Arial" w:eastAsia="Arial" w:cs="Arial"/>
          <w:noProof/>
          <w:sz w:val="22"/>
          <w:szCs w:val="22"/>
          <w:lang w:val="tr-TR"/>
        </w:rPr>
        <w:t>Menşe ülkeler bakımından bakıldığında, Türkiye’nin CBAM kapsamındaki ithalatlarda öne çıkan ülkeler arasında yer aldığı görülmektedir. Türkiye’yi Çin, Hindistan, Kanada, Tayvan ve Vietnam izlemektedir. Bu tablo, CBAM’ın Türkiye-Avrupa Birliği ticaret ilişkileri bakımından doğrudan ve ölçülebilir bir etki alanı oluşturduğunu göstermektedir. İthalatın yoğunlaştığı üye devletler arasında ise Belçika, İspanya, Romanya, Hollanda, Fransa ve Almanya öne çıkmaktadır. Bu ülkelerdeki yüksek beyan hacimleri, CBAM’ın büyük sanayi ve ticaret merkezlerinde aktif biçimde uygulandığını ortaya koymaktadır.</w:t>
      </w:r>
    </w:p>
    <w:p w:rsidR="3200BD66" w:rsidP="058DFE7F" w:rsidRDefault="3200BD66" w14:paraId="3DAB4DEB" w14:textId="6998E6C5">
      <w:pPr>
        <w:spacing w:before="240" w:beforeAutospacing="off" w:after="240" w:afterAutospacing="off"/>
        <w:jc w:val="both"/>
        <w:rPr>
          <w:rFonts w:ascii="Arial" w:hAnsi="Arial" w:eastAsia="Arial" w:cs="Arial"/>
          <w:noProof/>
          <w:sz w:val="22"/>
          <w:szCs w:val="22"/>
          <w:lang w:val="tr-TR"/>
        </w:rPr>
      </w:pPr>
      <w:r w:rsidRPr="058DFE7F" w:rsidR="3200BD66">
        <w:rPr>
          <w:rFonts w:ascii="Arial" w:hAnsi="Arial" w:eastAsia="Arial" w:cs="Arial"/>
          <w:noProof/>
          <w:sz w:val="22"/>
          <w:szCs w:val="22"/>
          <w:lang w:val="tr-TR"/>
        </w:rPr>
        <w:t>Bu ilk veriler birlikte değerlendirildiğinde, CBAM’ın 1 Ocak 2026 itibarıyla teknik, idari ve dijital altyapı bakımından işler bir sistem hâline geldiği görülmektedir. Mekanizma, karmaşık bir iklim politikası aracı olmasına rağmen ticaret akışlarında kesinti yaratmadan uygulanabilmekte; aynı zamanda şeffaflık ve izlenebilirlik düzeyini yükseltmektedir. Bu durum, CBAM’ın önümüzdeki dönemde küresel tedarik zincirleri üzerinde kalıcı hukuki ve ticari etkiler doğuracağını göstermektedir.</w:t>
      </w:r>
    </w:p>
    <w:p w:rsidR="3200BD66" w:rsidP="058DFE7F" w:rsidRDefault="3200BD66" w14:paraId="64C5B1FF" w14:textId="295071C2">
      <w:pPr>
        <w:spacing w:before="240" w:beforeAutospacing="off" w:after="240" w:afterAutospacing="off"/>
        <w:jc w:val="both"/>
        <w:rPr>
          <w:rFonts w:ascii="Arial" w:hAnsi="Arial" w:eastAsia="Arial" w:cs="Arial"/>
          <w:b w:val="1"/>
          <w:bCs w:val="1"/>
          <w:noProof/>
          <w:sz w:val="22"/>
          <w:szCs w:val="22"/>
          <w:lang w:val="tr-TR"/>
        </w:rPr>
      </w:pPr>
      <w:r w:rsidRPr="058DFE7F" w:rsidR="3200BD66">
        <w:rPr>
          <w:rFonts w:ascii="Arial" w:hAnsi="Arial" w:eastAsia="Arial" w:cs="Arial"/>
          <w:b w:val="1"/>
          <w:bCs w:val="1"/>
          <w:noProof/>
          <w:sz w:val="22"/>
          <w:szCs w:val="22"/>
          <w:lang w:val="tr-TR"/>
        </w:rPr>
        <w:t>Ticaret Hukuku ve İklim Politikası Arasında Yeni Denge</w:t>
      </w:r>
    </w:p>
    <w:p w:rsidR="3200BD66" w:rsidP="058DFE7F" w:rsidRDefault="3200BD66" w14:paraId="28FFB204" w14:textId="2E0F0AF7">
      <w:pPr>
        <w:spacing w:before="240" w:beforeAutospacing="off" w:after="240" w:afterAutospacing="off"/>
        <w:jc w:val="both"/>
        <w:rPr>
          <w:rFonts w:ascii="Arial" w:hAnsi="Arial" w:eastAsia="Arial" w:cs="Arial"/>
          <w:noProof/>
          <w:sz w:val="22"/>
          <w:szCs w:val="22"/>
          <w:lang w:val="tr-TR"/>
        </w:rPr>
      </w:pPr>
      <w:r w:rsidRPr="058DFE7F" w:rsidR="3200BD66">
        <w:rPr>
          <w:rFonts w:ascii="Arial" w:hAnsi="Arial" w:eastAsia="Arial" w:cs="Arial"/>
          <w:noProof/>
          <w:sz w:val="22"/>
          <w:szCs w:val="22"/>
          <w:lang w:val="tr-TR"/>
        </w:rPr>
        <w:t>CBAM’ın 1 Ocak 2026 itibarıyla uygulanmaya başlaması, Avrupa Birliği’nin karmaşık iklim politikası araçlarını ticareti aksatmadan hayata geçirebildiğini göstermektedir. Mekanizma, karbon kaçağını önlemeyi, şeffaflığı güçlendirmeyi ve küresel tedarik zincirlerinde iklim hedefleriyle uyumlu bir denge kurmayı amaçlamaktadır. Hukuki açıdan bakıldığında CBAM; ithalatçılar, ihracatçılar ve doğrulayıcılar bakımından yeni sorumluluk alanları tanımlamakta ve uyum süreçlerini zorunlu kılmaktadır.</w:t>
      </w:r>
    </w:p>
    <w:p w:rsidR="3200BD66" w:rsidP="058DFE7F" w:rsidRDefault="3200BD66" w14:paraId="6BDC81A7" w14:textId="13FAED84">
      <w:pPr>
        <w:spacing w:before="240" w:beforeAutospacing="off" w:after="240" w:afterAutospacing="off"/>
        <w:jc w:val="both"/>
        <w:rPr>
          <w:rFonts w:ascii="Arial" w:hAnsi="Arial" w:eastAsia="Arial" w:cs="Arial"/>
          <w:b w:val="1"/>
          <w:bCs w:val="1"/>
          <w:noProof/>
          <w:sz w:val="22"/>
          <w:szCs w:val="22"/>
          <w:lang w:val="tr-TR"/>
        </w:rPr>
      </w:pPr>
      <w:r w:rsidRPr="058DFE7F" w:rsidR="3200BD66">
        <w:rPr>
          <w:rFonts w:ascii="Arial" w:hAnsi="Arial" w:eastAsia="Arial" w:cs="Arial"/>
          <w:b w:val="1"/>
          <w:bCs w:val="1"/>
          <w:noProof/>
          <w:sz w:val="22"/>
          <w:szCs w:val="22"/>
          <w:lang w:val="tr-TR"/>
        </w:rPr>
        <w:t>Sonuç</w:t>
      </w:r>
    </w:p>
    <w:p w:rsidR="3200BD66" w:rsidP="058DFE7F" w:rsidRDefault="3200BD66" w14:paraId="0D906E9B" w14:textId="0E4E66D0">
      <w:pPr>
        <w:spacing w:before="240" w:beforeAutospacing="off" w:after="240" w:afterAutospacing="off"/>
        <w:jc w:val="both"/>
        <w:rPr>
          <w:rFonts w:ascii="Arial" w:hAnsi="Arial" w:eastAsia="Arial" w:cs="Arial"/>
          <w:noProof/>
          <w:sz w:val="22"/>
          <w:szCs w:val="22"/>
          <w:lang w:val="tr-TR"/>
        </w:rPr>
      </w:pPr>
      <w:r w:rsidRPr="058DFE7F" w:rsidR="3200BD66">
        <w:rPr>
          <w:rFonts w:ascii="Arial" w:hAnsi="Arial" w:eastAsia="Arial" w:cs="Arial"/>
          <w:noProof/>
          <w:sz w:val="22"/>
          <w:szCs w:val="22"/>
          <w:lang w:val="tr-TR"/>
        </w:rPr>
        <w:t>CBAM uygulama döneminin başlaması, sürdürülebilirlik hukukunda yeni bir aşamayı temsil etmektedir. Bu aşama, raporlama odaklı bir hazırlık sürecinden, doğrudan gümrük işlemleri ve mali yükümlülükler doğuran bir uyum rejimine geçildiğini göstermektedir. Ekonomik operatörler açısından CBAM, teknik bir çevre düzenlemesinin ötesinde, ticaretin hukuki altyapısını yeniden şekillendiren bir çerçeve sunmaktadır. Bu çerçevenin doğru okunması ve zamanında uyum sağlanması, önümüzdeki dönemde ticari faaliyetlerin kesintisiz yürütülmesi açısından belirleyici olacaktır.</w:t>
      </w:r>
    </w:p>
    <w:p w:rsidR="058DFE7F" w:rsidP="058DFE7F" w:rsidRDefault="058DFE7F" w14:paraId="60471438" w14:textId="2F2AAA35">
      <w:pPr>
        <w:spacing w:line="276" w:lineRule="auto"/>
        <w:jc w:val="both"/>
        <w:rPr>
          <w:rFonts w:ascii="Arial" w:hAnsi="Arial" w:eastAsia="Arial" w:cs="Arial"/>
          <w:sz w:val="22"/>
          <w:szCs w:val="22"/>
          <w:lang w:val="tr-TR"/>
        </w:rPr>
      </w:pPr>
    </w:p>
    <w:p w:rsidRPr="00F43810" w:rsidR="00844EDB" w:rsidP="058DFE7F" w:rsidRDefault="00844EDB" w14:paraId="4E46B77B" w14:textId="77777777">
      <w:pPr>
        <w:spacing w:line="276" w:lineRule="auto"/>
        <w:jc w:val="both"/>
        <w:rPr>
          <w:rFonts w:ascii="Arial" w:hAnsi="Arial" w:eastAsia="Arial" w:cs="Arial"/>
          <w:sz w:val="22"/>
          <w:szCs w:val="22"/>
          <w:lang w:val="tr-TR"/>
        </w:rPr>
      </w:pPr>
      <w:r w:rsidRPr="058DFE7F">
        <w:rPr>
          <w:rFonts w:ascii="Arial" w:hAnsi="Arial" w:eastAsia="Arial" w:cs="Arial"/>
          <w:sz w:val="22"/>
          <w:szCs w:val="22"/>
          <w:lang w:val="tr-TR"/>
        </w:rPr>
        <w:br w:type="page"/>
      </w:r>
    </w:p>
    <w:p w:rsidRPr="00F43810" w:rsidR="00901FB0" w:rsidP="058DFE7F" w:rsidRDefault="00901FB0" w14:paraId="6A696310" w14:textId="49D89D05">
      <w:pPr>
        <w:spacing w:before="240" w:beforeAutospacing="off" w:after="240" w:afterAutospacing="off" w:line="276" w:lineRule="auto"/>
        <w:jc w:val="both"/>
      </w:pPr>
      <w:r w:rsidRPr="1708BCE0" w:rsidR="5C790DC8">
        <w:rPr>
          <w:rFonts w:ascii="Arial" w:hAnsi="Arial" w:eastAsia="Arial" w:cs="Arial"/>
          <w:sz w:val="22"/>
          <w:szCs w:val="22"/>
          <w:lang w:val="tr-TR"/>
        </w:rPr>
        <w:t>KASIM 202</w:t>
      </w:r>
      <w:r w:rsidRPr="1708BCE0" w:rsidR="0E251858">
        <w:rPr>
          <w:rFonts w:ascii="Arial" w:hAnsi="Arial" w:eastAsia="Arial" w:cs="Arial"/>
          <w:sz w:val="22"/>
          <w:szCs w:val="22"/>
          <w:lang w:val="tr-TR"/>
        </w:rPr>
        <w:t>5</w:t>
      </w:r>
    </w:p>
    <w:p w:rsidRPr="00F43810" w:rsidR="00901FB0" w:rsidP="058DFE7F" w:rsidRDefault="00901FB0" w14:paraId="2F6A13C2" w14:textId="25ACB1B2">
      <w:pPr>
        <w:spacing w:before="240" w:beforeAutospacing="off" w:after="240" w:afterAutospacing="off" w:line="276" w:lineRule="auto"/>
        <w:jc w:val="both"/>
        <w:rPr>
          <w:rFonts w:ascii="Arial" w:hAnsi="Arial" w:eastAsia="Arial" w:cs="Arial"/>
          <w:b w:val="1"/>
          <w:bCs w:val="1"/>
          <w:noProof/>
          <w:sz w:val="22"/>
          <w:szCs w:val="22"/>
          <w:lang w:val="tr-TR"/>
        </w:rPr>
      </w:pPr>
      <w:r w:rsidRPr="1708BCE0" w:rsidR="04C06E81">
        <w:rPr>
          <w:rFonts w:ascii="Arial" w:hAnsi="Arial" w:eastAsia="Arial" w:cs="Arial"/>
          <w:b w:val="1"/>
          <w:bCs w:val="1"/>
          <w:noProof/>
          <w:sz w:val="22"/>
          <w:szCs w:val="22"/>
          <w:lang w:val="tr-TR"/>
        </w:rPr>
        <w:t xml:space="preserve"> NAVIGATING THE EU AI ACT: CRITICAL IMPLICATIONS FOR ENERGY &amp; NATURAL RESOURCES AND TURKISH COMPANIES</w:t>
      </w:r>
    </w:p>
    <w:p w:rsidRPr="00F43810" w:rsidR="00901FB0" w:rsidP="058DFE7F" w:rsidRDefault="00901FB0" w14:paraId="43DEEF75" w14:textId="5DF4EE34">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The landmark EU Artificial Intelligence Act (“AI Act”) is set to redefine how businesses develop and deploy AI, carrying significant cross-border implications, especially for the Energy and Natural Resources (“ENR”) sector and companies established in Türkiye. Compliance is not merely a legal formality; it is a strategic necessity.</w:t>
      </w:r>
    </w:p>
    <w:p w:rsidRPr="00F43810" w:rsidR="00901FB0" w:rsidP="058DFE7F" w:rsidRDefault="00901FB0" w14:paraId="7C1B7CC8" w14:textId="13FF3B79">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Impact on Energy and Natural Resources (ENR) Companies</w:t>
      </w:r>
    </w:p>
    <w:p w:rsidRPr="00F43810" w:rsidR="00901FB0" w:rsidP="058DFE7F" w:rsidRDefault="00901FB0" w14:paraId="596ED4A0" w14:textId="4DCFC540">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The AI Act adopts a risk-based approach, and many AI systems deployed in the ENR sector may fall into the “high-risk” category, triggering stringent compliance obligations.</w:t>
      </w:r>
    </w:p>
    <w:p w:rsidRPr="00F43810" w:rsidR="00901FB0" w:rsidP="058DFE7F" w:rsidRDefault="00901FB0" w14:paraId="648FD3B5" w14:textId="303FFFDD">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High-Risk Classification and Compliance Burden</w:t>
      </w:r>
    </w:p>
    <w:p w:rsidRPr="00F43810" w:rsidR="00901FB0" w:rsidP="058DFE7F" w:rsidRDefault="00901FB0" w14:paraId="56D0A388" w14:textId="4E72FB8E">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AI systems used as safety components in the management and operation of critical digital infrastructure and in the supply of electricity, gas, heating, and water are specifically designated as high-risk systems under Annex III of the AI Act. This covers critical AI applications such as:</w:t>
      </w:r>
    </w:p>
    <w:p w:rsidRPr="00F43810" w:rsidR="00901FB0" w:rsidP="058DFE7F" w:rsidRDefault="00901FB0" w14:paraId="3201DEAC" w14:textId="74074C68">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Grid optimisation and predictive maintenance for essential infrastructure,</w:t>
      </w:r>
    </w:p>
    <w:p w:rsidRPr="00F43810" w:rsidR="00901FB0" w:rsidP="058DFE7F" w:rsidRDefault="00901FB0" w14:paraId="15F8B307" w14:textId="28C5B862">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Safety systems in renewable energy plants or extraction sites,</w:t>
      </w:r>
    </w:p>
    <w:p w:rsidRPr="00F43810" w:rsidR="00901FB0" w:rsidP="058DFE7F" w:rsidRDefault="00901FB0" w14:paraId="7F14CBB5" w14:textId="206C8E45">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Automated control systems for pipelines and storage facilities.</w:t>
      </w:r>
    </w:p>
    <w:p w:rsidRPr="00F43810" w:rsidR="00901FB0" w:rsidP="058DFE7F" w:rsidRDefault="00901FB0" w14:paraId="218AD9BE" w14:textId="2A14D60A">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Companies deploying these systems must:</w:t>
      </w:r>
    </w:p>
    <w:p w:rsidRPr="00F43810" w:rsidR="00901FB0" w:rsidP="058DFE7F" w:rsidRDefault="00901FB0" w14:paraId="5897F01A" w14:textId="645D6011">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Implement robust risk management systems,</w:t>
      </w:r>
    </w:p>
    <w:p w:rsidRPr="00F43810" w:rsidR="00901FB0" w:rsidP="058DFE7F" w:rsidRDefault="00901FB0" w14:paraId="3B5471ED" w14:textId="29A3BA96">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Ensure rigorous data governance and quality controls,</w:t>
      </w:r>
    </w:p>
    <w:p w:rsidRPr="00F43810" w:rsidR="00901FB0" w:rsidP="058DFE7F" w:rsidRDefault="00901FB0" w14:paraId="37BD1E34" w14:textId="23943494">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Provide technical documentation and detailed records,</w:t>
      </w:r>
    </w:p>
    <w:p w:rsidRPr="00F43810" w:rsidR="00901FB0" w:rsidP="058DFE7F" w:rsidRDefault="00901FB0" w14:paraId="5AEFC46E" w14:textId="109FFF58">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Establish human oversight mechanisms,</w:t>
      </w:r>
    </w:p>
    <w:p w:rsidRPr="00F43810" w:rsidR="00901FB0" w:rsidP="058DFE7F" w:rsidRDefault="00901FB0" w14:paraId="251A26E2" w14:textId="4BE850E5">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Undergo a conformity assessment before the relevant system is placed on the market or put into service.</w:t>
      </w:r>
    </w:p>
    <w:p w:rsidRPr="00F43810" w:rsidR="00901FB0" w:rsidP="058DFE7F" w:rsidRDefault="00901FB0" w14:paraId="1E2A4FEB" w14:textId="6DA84D39">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Sustainability and Transparency Requirements</w:t>
      </w:r>
    </w:p>
    <w:p w:rsidRPr="00F43810" w:rsidR="00901FB0" w:rsidP="058DFE7F" w:rsidRDefault="00901FB0" w14:paraId="33C0D625" w14:textId="4A344C84">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The AI Act also introduces requirements related to environmental impact. Providers of high-risk AI systems and general-purpose AI (“GPAI”) models may face new obligations to:</w:t>
      </w:r>
    </w:p>
    <w:p w:rsidRPr="00F43810" w:rsidR="00901FB0" w:rsidP="058DFE7F" w:rsidRDefault="00901FB0" w14:paraId="5AC60CBE" w14:textId="23E5E544">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Ensure logging capabilities to record and measure energy consumption and resource use,</w:t>
      </w:r>
    </w:p>
    <w:p w:rsidRPr="00F43810" w:rsidR="00901FB0" w:rsidP="058DFE7F" w:rsidRDefault="00901FB0" w14:paraId="281C69FF" w14:textId="5B7EF221">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Adhere to standards for reducing energy and resource consumption throughout the AI system’s lifecycle.</w:t>
      </w:r>
    </w:p>
    <w:p w:rsidRPr="00F43810" w:rsidR="00901FB0" w:rsidP="058DFE7F" w:rsidRDefault="00901FB0" w14:paraId="71015431" w14:textId="04D22333">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This aligns with the ENR sector’s existing focus on decarbonisation and sustainability, but requires new levels of transparency and reporting on the environmental footprint of AI solutions.</w:t>
      </w:r>
    </w:p>
    <w:p w:rsidRPr="00F43810" w:rsidR="00901FB0" w:rsidP="058DFE7F" w:rsidRDefault="00901FB0" w14:paraId="2E2629DF" w14:textId="337C6208">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Implications for Companies in Türkiye</w:t>
      </w:r>
    </w:p>
    <w:p w:rsidRPr="00F43810" w:rsidR="00901FB0" w:rsidP="058DFE7F" w:rsidRDefault="00901FB0" w14:paraId="038AFD32" w14:textId="68DA17BD">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Turkish companies, regardless of where their headquarters are located, may be directly affected by the EU AI Act’s extraterritorial reach if they:</w:t>
      </w:r>
    </w:p>
    <w:p w:rsidRPr="00F43810" w:rsidR="00901FB0" w:rsidP="058DFE7F" w:rsidRDefault="00901FB0" w14:paraId="51DAB338" w14:textId="03E73BFC">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Place AI systems on the EU market,</w:t>
      </w:r>
    </w:p>
    <w:p w:rsidRPr="00F43810" w:rsidR="00901FB0" w:rsidP="058DFE7F" w:rsidRDefault="00901FB0" w14:paraId="5C0FE26D" w14:textId="56CABEA1">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Put AI systems into service in the EU,</w:t>
      </w:r>
    </w:p>
    <w:p w:rsidRPr="00F43810" w:rsidR="00901FB0" w:rsidP="058DFE7F" w:rsidRDefault="00901FB0" w14:paraId="663F9092" w14:textId="1E03C859">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Provide AI system outputs used in the EU.</w:t>
      </w:r>
    </w:p>
    <w:p w:rsidRPr="00F43810" w:rsidR="00901FB0" w:rsidP="058DFE7F" w:rsidRDefault="00901FB0" w14:paraId="0A4BDDB5" w14:textId="77D02D6B">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Strategic Alignment and Competitive Edge</w:t>
      </w:r>
    </w:p>
    <w:p w:rsidRPr="00F43810" w:rsidR="00901FB0" w:rsidP="058DFE7F" w:rsidRDefault="00901FB0" w14:paraId="5872FEB9" w14:textId="6DEA0241">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b w:val="1"/>
          <w:bCs w:val="1"/>
          <w:noProof/>
          <w:sz w:val="22"/>
          <w:szCs w:val="22"/>
          <w:lang w:val="tr-TR"/>
        </w:rPr>
        <w:t>“Brussels Effect”:</w:t>
      </w:r>
      <w:r w:rsidRPr="058DFE7F" w:rsidR="229202AE">
        <w:rPr>
          <w:rFonts w:ascii="Arial" w:hAnsi="Arial" w:eastAsia="Arial" w:cs="Arial"/>
          <w:noProof/>
          <w:sz w:val="22"/>
          <w:szCs w:val="22"/>
          <w:lang w:val="tr-TR"/>
        </w:rPr>
        <w:t xml:space="preserve"> Due to close commercial and technological ties with the EU, the AI Act’s compliance standards are likely to become the de facto requirement for Turkish businesses seeking to remain competitive globally.</w:t>
      </w:r>
    </w:p>
    <w:p w:rsidRPr="00F43810" w:rsidR="00901FB0" w:rsidP="058DFE7F" w:rsidRDefault="00901FB0" w14:paraId="4B624D5C" w14:textId="70EC0A01">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b w:val="1"/>
          <w:bCs w:val="1"/>
          <w:noProof/>
          <w:sz w:val="22"/>
          <w:szCs w:val="22"/>
          <w:lang w:val="tr-TR"/>
        </w:rPr>
        <w:t>Local Regulation:</w:t>
      </w:r>
      <w:r w:rsidRPr="058DFE7F" w:rsidR="229202AE">
        <w:rPr>
          <w:rFonts w:ascii="Arial" w:hAnsi="Arial" w:eastAsia="Arial" w:cs="Arial"/>
          <w:noProof/>
          <w:sz w:val="22"/>
          <w:szCs w:val="22"/>
          <w:lang w:val="tr-TR"/>
        </w:rPr>
        <w:t xml:space="preserve"> Türkiye is already developing its own AI regulatory framework, which is expected to align closely with the EU AI Act’s risk-based approach, particularly in relation to prohibited practices and oversight of high-risk systems. Proactive compliance with the EU framework positions companies well for future domestic regulations that are likely to enter into force in the near future.</w:t>
      </w:r>
    </w:p>
    <w:p w:rsidRPr="00F43810" w:rsidR="00901FB0" w:rsidP="058DFE7F" w:rsidRDefault="00901FB0" w14:paraId="68A5AA2A" w14:textId="6F89BB34">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b w:val="1"/>
          <w:bCs w:val="1"/>
          <w:noProof/>
          <w:sz w:val="22"/>
          <w:szCs w:val="22"/>
          <w:lang w:val="tr-TR"/>
        </w:rPr>
        <w:t>Market Access:</w:t>
      </w:r>
      <w:r w:rsidRPr="058DFE7F" w:rsidR="229202AE">
        <w:rPr>
          <w:rFonts w:ascii="Arial" w:hAnsi="Arial" w:eastAsia="Arial" w:cs="Arial"/>
          <w:noProof/>
          <w:sz w:val="22"/>
          <w:szCs w:val="22"/>
          <w:lang w:val="tr-TR"/>
        </w:rPr>
        <w:t xml:space="preserve"> For Turkish companies, including those in the ENR sector, compliance is essential for sustainable market access and attracting investment from AI-conscious European partners. Non-compliance could result in substantial fines and exclusion from the EU market.</w:t>
      </w:r>
    </w:p>
    <w:p w:rsidRPr="00F43810" w:rsidR="00901FB0" w:rsidP="058DFE7F" w:rsidRDefault="00901FB0" w14:paraId="2DFA5B38" w14:textId="745B29F2">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Action Items for Turkish Businesses</w:t>
      </w:r>
    </w:p>
    <w:p w:rsidRPr="00F43810" w:rsidR="00901FB0" w:rsidP="058DFE7F" w:rsidRDefault="00901FB0" w14:paraId="1D925E46" w14:textId="64B18F91">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It is crucial to begin preparations now. This includes performing a model inventory to classify existing and planned AI systems by risk level, updating governance frameworks, and allocating resources for conformity assessment procedures. Embracing this regulation early can turn a compliance obligation into a competitive advantage built on trust, ethics, and security.</w:t>
      </w:r>
    </w:p>
    <w:p w:rsidRPr="00F43810" w:rsidR="00901FB0" w:rsidP="058DFE7F" w:rsidRDefault="00901FB0" w14:paraId="00EAD18F" w14:textId="20B7B8FB">
      <w:pPr>
        <w:spacing w:line="276" w:lineRule="auto"/>
        <w:jc w:val="both"/>
        <w:rPr>
          <w:rFonts w:ascii="Arial" w:hAnsi="Arial" w:eastAsia="Arial" w:cs="Arial"/>
          <w:sz w:val="22"/>
          <w:szCs w:val="22"/>
        </w:rPr>
      </w:pPr>
    </w:p>
    <w:p w:rsidRPr="00F43810" w:rsidR="00901FB0" w:rsidP="058DFE7F" w:rsidRDefault="00901FB0" w14:paraId="2EA8A4CE" w14:textId="659E2047">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AB YAPAY ZEKÂ TÜZÜĞÜ ÇERÇEVESİNDE UYUM VE STRATEJİ: ENERJİ VE DOĞAL KAYNAKLAR SEKTÖRÜ İLE TÜRK ŞİRKETLERİ İÇİN DEĞERLENDİRME</w:t>
      </w:r>
    </w:p>
    <w:p w:rsidRPr="00F43810" w:rsidR="00901FB0" w:rsidP="058DFE7F" w:rsidRDefault="00901FB0" w14:paraId="44C1BCA7" w14:textId="1698E6A5">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Avrupa Birliği’nin (“AB”) dönüm noktası niteliğindeki Yapay Zekâ Tüzüğü (“YZ Tüzüğü”), işletmelerin yapay zekâyı geliştirme ve kullanma biçimini yeniden tanımlamaya hazırlanmaktadır. Bu düzenleme, özellikle Türkiye’de kurulmuş bulunan ve enerji ve doğal kaynaklar (“EDK”) sektöründe faaliyet gösteren şirketler açısından sınır ötesi nitelikte önemli yükümlülükler doğurmaktadır. Uyum sağlamak yalnızca yasal bir gereklilik değil, aynı zamanda stratejik bir zorunluluktur.</w:t>
      </w:r>
    </w:p>
    <w:p w:rsidRPr="00F43810" w:rsidR="00901FB0" w:rsidP="058DFE7F" w:rsidRDefault="00901FB0" w14:paraId="1CF6F284" w14:textId="0D5DE7AE">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Enerji ve Doğal Kaynaklar (EDK) Sektörüne Etkileri</w:t>
      </w:r>
    </w:p>
    <w:p w:rsidRPr="00F43810" w:rsidR="00901FB0" w:rsidP="058DFE7F" w:rsidRDefault="00901FB0" w14:paraId="39DC0778" w14:textId="18DDE87C">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YZ Tüzüğü, risk temelli bir yaklaşım benimsemektedir. EDK sektöründe kullanılan pek çok yapay zekâ sistemi “yüksek riskli” kategorisine girebilecek olup, bu durum kapsamlı uyum yükümlülüklerini beraberinde getirmektedir.</w:t>
      </w:r>
    </w:p>
    <w:p w:rsidRPr="00F43810" w:rsidR="00901FB0" w:rsidP="058DFE7F" w:rsidRDefault="00901FB0" w14:paraId="29D3590C" w14:textId="29B7705B">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Yüksek Risk Sınıflandırması ve Uyum Yükü</w:t>
      </w:r>
    </w:p>
    <w:p w:rsidRPr="00F43810" w:rsidR="00901FB0" w:rsidP="058DFE7F" w:rsidRDefault="00901FB0" w14:paraId="73061449" w14:textId="4F8C0B9D">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Kritik dijital altyapıların yönetimi ve işletimi ile elektrik, gaz, ısıtma ve su temini süreçlerinde güvenlik bileşeni olarak kullanılan YZ sistemleri, YZ Tüzüğü’nün Ek III’ü uyarınca özel olarak yüksek riskli sistemler olarak sınıflandırılmıştır. Kritik YZ uygulamaları şunlardır:</w:t>
      </w:r>
    </w:p>
    <w:p w:rsidRPr="00F43810" w:rsidR="00901FB0" w:rsidP="058DFE7F" w:rsidRDefault="00901FB0" w14:paraId="52EEAC74" w14:textId="55713FDB">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Kritik altyapılarda şebeke optimizasyonu ve öngörüye dayalı bakım,</w:t>
      </w:r>
    </w:p>
    <w:p w:rsidRPr="00F43810" w:rsidR="00901FB0" w:rsidP="058DFE7F" w:rsidRDefault="00901FB0" w14:paraId="109B46B8" w14:textId="263D5F38">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Yenilenebilir enerji tesisleri veya üretim/çıkarma sahalarındaki güvenlik sistemleri,</w:t>
      </w:r>
    </w:p>
    <w:p w:rsidRPr="00F43810" w:rsidR="00901FB0" w:rsidP="058DFE7F" w:rsidRDefault="00901FB0" w14:paraId="2F1B7049" w14:textId="04B3EF75">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Boru hatları ve depolama tesisleri için otomatik kontrol sistemleri.</w:t>
      </w:r>
    </w:p>
    <w:p w:rsidRPr="00F43810" w:rsidR="00901FB0" w:rsidP="058DFE7F" w:rsidRDefault="00901FB0" w14:paraId="367847A2" w14:textId="1667FBCB">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Bu tür sistemleri kullanan şirketlerin aşağıdaki yükümlülükleri yerine getirmesi gerekecektir:</w:t>
      </w:r>
    </w:p>
    <w:p w:rsidRPr="00F43810" w:rsidR="00901FB0" w:rsidP="058DFE7F" w:rsidRDefault="00901FB0" w14:paraId="10EC7C25" w14:textId="71D9A9A3">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Etkin risk yönetim sistemleri kurma,</w:t>
      </w:r>
    </w:p>
    <w:p w:rsidRPr="00F43810" w:rsidR="00901FB0" w:rsidP="058DFE7F" w:rsidRDefault="00901FB0" w14:paraId="6C569121" w14:textId="67661277">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Sıkı veri yönetişimi ve kalite kontrol süreçleri uygulama,</w:t>
      </w:r>
    </w:p>
    <w:p w:rsidRPr="00F43810" w:rsidR="00901FB0" w:rsidP="058DFE7F" w:rsidRDefault="00901FB0" w14:paraId="4F6889D8" w14:textId="6D238875">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Teknik dokümantasyon ve ayrıntılı kayıtlar oluşturma,</w:t>
      </w:r>
    </w:p>
    <w:p w:rsidRPr="00F43810" w:rsidR="00901FB0" w:rsidP="058DFE7F" w:rsidRDefault="00901FB0" w14:paraId="198E32A4" w14:textId="301858F9">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İnsan denetimi mekanizmaları tesis etme,</w:t>
      </w:r>
    </w:p>
    <w:p w:rsidRPr="00F43810" w:rsidR="00901FB0" w:rsidP="058DFE7F" w:rsidRDefault="00901FB0" w14:paraId="1A0A461F" w14:textId="2E56FCF4">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Sistemi piyasaya arz etmeden veya hizmete almadan önce uygunluk değerlendirmesi süreçlerinden geçirme.</w:t>
      </w:r>
    </w:p>
    <w:p w:rsidRPr="00F43810" w:rsidR="00901FB0" w:rsidP="058DFE7F" w:rsidRDefault="00901FB0" w14:paraId="1E55EA1D" w14:textId="1C6568B2">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Sürdürülebilirlik ve Şeffaflık Yükümlülükleri</w:t>
      </w:r>
    </w:p>
    <w:p w:rsidRPr="00F43810" w:rsidR="00901FB0" w:rsidP="058DFE7F" w:rsidRDefault="00901FB0" w14:paraId="5F43A7F4" w14:textId="6BED2CB6">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YZ Tüzüğü, çevresel etkiler bakımından da yeni gereklilikler öngörmektedir. Yüksek riskli YZ sistemleri ile genel amaçlı YZ (“GPAI”) modellerinin sağlayıcıları:</w:t>
      </w:r>
    </w:p>
    <w:p w:rsidRPr="00F43810" w:rsidR="00901FB0" w:rsidP="058DFE7F" w:rsidRDefault="00901FB0" w14:paraId="3FCB24A2" w14:textId="6E19BCC6">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Enerji tüketimi ve kaynak kullanımını ölçmek üzere kayıt tutma mekanizmaları kurmak,</w:t>
      </w:r>
    </w:p>
    <w:p w:rsidRPr="00F43810" w:rsidR="00901FB0" w:rsidP="058DFE7F" w:rsidRDefault="00901FB0" w14:paraId="69D53FC6" w14:textId="3495315F">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YZ sisteminin yaşam döngüsü boyunca enerji ve kaynak tüketimini azaltmaya yönelik standartlara uymak</w:t>
      </w:r>
    </w:p>
    <w:p w:rsidRPr="00F43810" w:rsidR="00901FB0" w:rsidP="058DFE7F" w:rsidRDefault="00901FB0" w14:paraId="5FEBECBE" w14:textId="12BE0F76">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zorundadır.</w:t>
      </w:r>
    </w:p>
    <w:p w:rsidRPr="00F43810" w:rsidR="00901FB0" w:rsidP="058DFE7F" w:rsidRDefault="00901FB0" w14:paraId="20241FE9" w14:textId="2ABB34BF">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Bu yükümlülükler, EDK sektörünün mevcut karbonsuzlaşma ve sürdürülebilirlik hedefleriyle uyumlu olmakla birlikte, YZ çözümlerinin çevresel ayak izine ilişkin yeni bir şeffaflık ve raporlama sisteminin hayata geçirilmesini gerektirmektedir.</w:t>
      </w:r>
    </w:p>
    <w:p w:rsidRPr="00F43810" w:rsidR="00901FB0" w:rsidP="058DFE7F" w:rsidRDefault="00901FB0" w14:paraId="47C703EA" w14:textId="0033842F">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Türkiye’deki Şirketler Açısından Sonuçlar</w:t>
      </w:r>
    </w:p>
    <w:p w:rsidRPr="00F43810" w:rsidR="00901FB0" w:rsidP="058DFE7F" w:rsidRDefault="00901FB0" w14:paraId="274E1003" w14:textId="72693F31">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Merkezi nerede olursa olsun, Türk şirketleri aşağıdaki hâllerde YZ Tüzüğü’nün sınır ötesi etkisi kapsamına girebilecektir:</w:t>
      </w:r>
    </w:p>
    <w:p w:rsidRPr="00F43810" w:rsidR="00901FB0" w:rsidP="058DFE7F" w:rsidRDefault="00901FB0" w14:paraId="19A66612" w14:textId="2E20D919">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YZ sistemlerini AB pazarına arz etmeleri,</w:t>
      </w:r>
    </w:p>
    <w:p w:rsidRPr="00F43810" w:rsidR="00901FB0" w:rsidP="058DFE7F" w:rsidRDefault="00901FB0" w14:paraId="6993C3A6" w14:textId="190E0C42">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YZ sistemlerini AB’de hizmete sunmaları,</w:t>
      </w:r>
    </w:p>
    <w:p w:rsidRPr="00F43810" w:rsidR="00901FB0" w:rsidP="058DFE7F" w:rsidRDefault="00901FB0" w14:paraId="736E72EF" w14:textId="01A67647">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YZ sistemi çıktılarının AB’de kullanılmasını sağlamaları.</w:t>
      </w:r>
    </w:p>
    <w:p w:rsidRPr="00F43810" w:rsidR="00901FB0" w:rsidP="058DFE7F" w:rsidRDefault="00901FB0" w14:paraId="431F7A83" w14:textId="208228BA">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Stratejik Uyum ve Rekabet Avantajı</w:t>
      </w:r>
    </w:p>
    <w:p w:rsidRPr="00F43810" w:rsidR="00901FB0" w:rsidP="058DFE7F" w:rsidRDefault="00901FB0" w14:paraId="032FBA66" w14:textId="12DA8884">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b w:val="1"/>
          <w:bCs w:val="1"/>
          <w:noProof/>
          <w:sz w:val="22"/>
          <w:szCs w:val="22"/>
          <w:lang w:val="tr-TR"/>
        </w:rPr>
        <w:t>“Brüksel Etkisi”:</w:t>
      </w:r>
      <w:r w:rsidRPr="058DFE7F" w:rsidR="229202AE">
        <w:rPr>
          <w:rFonts w:ascii="Arial" w:hAnsi="Arial" w:eastAsia="Arial" w:cs="Arial"/>
          <w:noProof/>
          <w:sz w:val="22"/>
          <w:szCs w:val="22"/>
          <w:lang w:val="tr-TR"/>
        </w:rPr>
        <w:t xml:space="preserve"> Türkiye’nin AB ile yakın ticari ve teknolojik ilişkileri dikkate alındığında, YZ Tüzüğü’nün uyum standartları, küresel ölçekte rekabetçi kalmak isteyen Türk şirketleri için fiilen bağlayıcı hâle gelebilecektir.</w:t>
      </w:r>
    </w:p>
    <w:p w:rsidRPr="00F43810" w:rsidR="00901FB0" w:rsidP="058DFE7F" w:rsidRDefault="00901FB0" w14:paraId="3A732FF0" w14:textId="160BB97B">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b w:val="1"/>
          <w:bCs w:val="1"/>
          <w:noProof/>
          <w:sz w:val="22"/>
          <w:szCs w:val="22"/>
          <w:lang w:val="tr-TR"/>
        </w:rPr>
        <w:t>Yerel Mevzuat Uyumu:</w:t>
      </w:r>
      <w:r w:rsidRPr="058DFE7F" w:rsidR="229202AE">
        <w:rPr>
          <w:rFonts w:ascii="Arial" w:hAnsi="Arial" w:eastAsia="Arial" w:cs="Arial"/>
          <w:noProof/>
          <w:sz w:val="22"/>
          <w:szCs w:val="22"/>
          <w:lang w:val="tr-TR"/>
        </w:rPr>
        <w:t xml:space="preserve"> Türkiye, YZ Tüzüğü’nün risk temelli yaklaşımıyla büyük ölçüde uyumlu bir ulusal düzenleyici çerçeve geliştirme sürecindedir. Bu kapsamda özellikle yasaklanmış uygulamalar ve yüksek riskli sistemlerin denetimi konuları ele alınmaktadır. AB çerçevesine proaktif uyum sağlamak, yakın gelecekte yürürlüğe girmesi beklenen yerel mevzuata hazırlık açısından önemli bir avantaj yaratacaktır.</w:t>
      </w:r>
    </w:p>
    <w:p w:rsidRPr="00F43810" w:rsidR="00901FB0" w:rsidP="058DFE7F" w:rsidRDefault="00901FB0" w14:paraId="382A4879" w14:textId="27DA5EE1">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b w:val="1"/>
          <w:bCs w:val="1"/>
          <w:noProof/>
          <w:sz w:val="22"/>
          <w:szCs w:val="22"/>
          <w:lang w:val="tr-TR"/>
        </w:rPr>
        <w:t>Pazar Erişimi:</w:t>
      </w:r>
      <w:r w:rsidRPr="058DFE7F" w:rsidR="229202AE">
        <w:rPr>
          <w:rFonts w:ascii="Arial" w:hAnsi="Arial" w:eastAsia="Arial" w:cs="Arial"/>
          <w:noProof/>
          <w:sz w:val="22"/>
          <w:szCs w:val="22"/>
          <w:lang w:val="tr-TR"/>
        </w:rPr>
        <w:t xml:space="preserve"> Uyum sağlamak, özellikle EDK sektöründeki Türk şirketleri için AB pazarına sürdürülebilir erişimi güvence altına almak ve yapay zekâ farkındalığı yüksek Avrupalı yatırımcıları çekebilmek açısından önemlidir. Uyum eksikliği, ağır idari para cezaları ve AB pazarından dışlanma riskini beraberinde getirebilir.</w:t>
      </w:r>
    </w:p>
    <w:p w:rsidRPr="00F43810" w:rsidR="00901FB0" w:rsidP="058DFE7F" w:rsidRDefault="00901FB0" w14:paraId="75CE2BEC" w14:textId="1A554625">
      <w:pPr>
        <w:spacing w:before="240" w:beforeAutospacing="off" w:after="240" w:afterAutospacing="off" w:line="276" w:lineRule="auto"/>
        <w:jc w:val="both"/>
        <w:rPr>
          <w:rFonts w:ascii="Arial" w:hAnsi="Arial" w:eastAsia="Arial" w:cs="Arial"/>
          <w:b w:val="1"/>
          <w:bCs w:val="1"/>
          <w:noProof/>
          <w:sz w:val="22"/>
          <w:szCs w:val="22"/>
          <w:lang w:val="tr-TR"/>
        </w:rPr>
      </w:pPr>
      <w:r w:rsidRPr="058DFE7F" w:rsidR="229202AE">
        <w:rPr>
          <w:rFonts w:ascii="Arial" w:hAnsi="Arial" w:eastAsia="Arial" w:cs="Arial"/>
          <w:b w:val="1"/>
          <w:bCs w:val="1"/>
          <w:noProof/>
          <w:sz w:val="22"/>
          <w:szCs w:val="22"/>
          <w:lang w:val="tr-TR"/>
        </w:rPr>
        <w:t>Türk Şirketleri İçin Önerilen Adımlar</w:t>
      </w:r>
    </w:p>
    <w:p w:rsidRPr="00F43810" w:rsidR="00901FB0" w:rsidP="058DFE7F" w:rsidRDefault="00901FB0" w14:paraId="265D6D99" w14:textId="3BD0663E">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Türk işletmelerinin gecikmeksizin hazırlıklara başlaması önem taşımaktadır. Bu kapsamda; hâlihazırda kullanılan veya ileride hayata geçirilmesi planlanan YZ sistemlerinin risk düzeyine göre sınıflandırıldığı bir model envanteri oluşturulmalı, yönetişim çerçeveleri güncellenmeli ve YZ sistemlerinin uygunluk değerlendirmesi süreçleri için gerekli kaynaklar tahsis edilmelidir.</w:t>
      </w:r>
    </w:p>
    <w:p w:rsidRPr="00F43810" w:rsidR="00901FB0" w:rsidP="058DFE7F" w:rsidRDefault="00901FB0" w14:paraId="10455EB0" w14:textId="73C7D6DD">
      <w:pPr>
        <w:spacing w:before="240" w:beforeAutospacing="off" w:after="240" w:afterAutospacing="off" w:line="276" w:lineRule="auto"/>
        <w:jc w:val="both"/>
        <w:rPr>
          <w:rFonts w:ascii="Arial" w:hAnsi="Arial" w:eastAsia="Arial" w:cs="Arial"/>
          <w:noProof/>
          <w:sz w:val="22"/>
          <w:szCs w:val="22"/>
          <w:lang w:val="tr-TR"/>
        </w:rPr>
      </w:pPr>
      <w:r w:rsidRPr="058DFE7F" w:rsidR="229202AE">
        <w:rPr>
          <w:rFonts w:ascii="Arial" w:hAnsi="Arial" w:eastAsia="Arial" w:cs="Arial"/>
          <w:noProof/>
          <w:sz w:val="22"/>
          <w:szCs w:val="22"/>
          <w:lang w:val="tr-TR"/>
        </w:rPr>
        <w:t>Bu düzenlemeyi erkenden benimsemek, uyum yükümlülüğünü bir rekabet avantajına dönüştürerek güven, etik ve güvenlik temelli bir kurumsal yapı oluşturma fırsatı sunmaktadır.</w:t>
      </w:r>
    </w:p>
    <w:p w:rsidRPr="00F43810" w:rsidR="00901FB0" w:rsidP="058DFE7F" w:rsidRDefault="00901FB0" w14:paraId="3DBE4DF5" w14:textId="7C77C71D">
      <w:pPr>
        <w:spacing w:line="276" w:lineRule="auto"/>
        <w:jc w:val="both"/>
        <w:rPr>
          <w:rFonts w:ascii="Arial" w:hAnsi="Arial" w:eastAsia="Arial" w:cs="Arial"/>
          <w:sz w:val="22"/>
          <w:szCs w:val="22"/>
          <w:lang w:val="tr-TR"/>
        </w:rPr>
      </w:pPr>
    </w:p>
    <w:p w:rsidRPr="00F43810" w:rsidR="00901FB0" w:rsidP="058DFE7F" w:rsidRDefault="00901FB0" w14:paraId="0C62CBBA" w14:textId="77777777">
      <w:pPr>
        <w:spacing w:after="0" w:line="276" w:lineRule="auto"/>
        <w:jc w:val="both"/>
        <w:rPr>
          <w:rFonts w:ascii="Arial" w:hAnsi="Arial" w:eastAsia="Arial" w:cs="Arial"/>
          <w:noProof w:val="0"/>
          <w:color w:val="000000"/>
          <w:kern w:val="0"/>
          <w:sz w:val="22"/>
          <w:szCs w:val="22"/>
          <w:lang w:val="en" w:eastAsia="tr-TR"/>
          <w14:ligatures w14:val="none"/>
        </w:rPr>
      </w:pPr>
      <w:r w:rsidRPr="058DFE7F" w:rsidR="00901FB0">
        <w:rPr>
          <w:rFonts w:ascii="Arial" w:hAnsi="Arial" w:eastAsia="Arial" w:cs="Arial"/>
          <w:noProof w:val="0"/>
          <w:color w:val="000000"/>
          <w:kern w:val="0"/>
          <w:sz w:val="22"/>
          <w:szCs w:val="22"/>
          <w:lang w:val="en" w:eastAsia="tr-TR"/>
          <w14:ligatures w14:val="none"/>
        </w:rPr>
        <w:t>.</w:t>
      </w:r>
    </w:p>
    <w:p w:rsidRPr="00F43810" w:rsidR="00844EDB" w:rsidP="058DFE7F" w:rsidRDefault="00844EDB" w14:paraId="4F9D8888" w14:textId="77777777">
      <w:pPr>
        <w:spacing w:line="276" w:lineRule="auto"/>
        <w:jc w:val="both"/>
        <w:rPr>
          <w:rFonts w:ascii="Arial" w:hAnsi="Arial" w:eastAsia="Arial" w:cs="Arial"/>
          <w:sz w:val="22"/>
          <w:szCs w:val="22"/>
          <w:lang w:val="tr-TR"/>
        </w:rPr>
      </w:pPr>
      <w:r w:rsidRPr="058DFE7F">
        <w:rPr>
          <w:rFonts w:ascii="Arial" w:hAnsi="Arial" w:eastAsia="Arial" w:cs="Arial"/>
          <w:sz w:val="22"/>
          <w:szCs w:val="22"/>
          <w:lang w:val="tr-TR"/>
        </w:rPr>
        <w:br w:type="page"/>
      </w:r>
    </w:p>
    <w:p w:rsidRPr="00F43810" w:rsidR="00112119" w:rsidP="058DFE7F" w:rsidRDefault="00112119" w14:paraId="220013DE" w14:textId="3C7E5E1B">
      <w:pPr>
        <w:spacing w:before="240" w:beforeAutospacing="off" w:after="240" w:afterAutospacing="off" w:line="276" w:lineRule="auto"/>
        <w:jc w:val="both"/>
        <w:textAlignment w:val="baseline"/>
        <w:rPr>
          <w:rFonts w:ascii="Arial" w:hAnsi="Arial" w:eastAsia="Arial" w:cs="Arial"/>
          <w:b w:val="1"/>
          <w:bCs w:val="1"/>
          <w:noProof/>
          <w:sz w:val="22"/>
          <w:szCs w:val="22"/>
          <w:lang w:val="tr-TR"/>
        </w:rPr>
      </w:pPr>
      <w:r w:rsidRPr="058DFE7F" w:rsidR="00112119">
        <w:rPr>
          <w:rFonts w:ascii="Arial" w:hAnsi="Arial" w:eastAsia="Arial" w:cs="Arial"/>
          <w:sz w:val="22"/>
          <w:szCs w:val="22"/>
          <w:lang w:val="tr-TR"/>
        </w:rPr>
        <w:t>MART 2026</w:t>
      </w:r>
      <w:r w:rsidRPr="058DFE7F" w:rsidR="5FD936C7">
        <w:rPr>
          <w:rFonts w:ascii="Arial" w:hAnsi="Arial" w:eastAsia="Arial" w:cs="Arial"/>
          <w:b w:val="1"/>
          <w:bCs w:val="1"/>
          <w:noProof/>
          <w:sz w:val="22"/>
          <w:szCs w:val="22"/>
          <w:lang w:val="tr-TR"/>
        </w:rPr>
        <w:t xml:space="preserve"> ENERJİ HUKUKU SERİSİ #11 – ENERJİ SEKTÖRÜNDE YEŞİL DÖNÜŞÜM: KARBON PİYASALARI VE TİCARETİN HUKUKİ BOYUTU</w:t>
      </w:r>
    </w:p>
    <w:p w:rsidRPr="00F43810" w:rsidR="00112119" w:rsidP="058DFE7F" w:rsidRDefault="00112119" w14:paraId="340D39FA" w14:textId="615CCA89">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Enerji sektörü, küresel karbon emisyonlarının önemli bir bölümünü oluşturan sektörlerin başında gelmektedir. Elektrik üretimi, fosil yakıt kullanımı ve enerji yoğun üretim faaliyetleri, karbon salımının en yoğun olduğu alanlar arasında yer almaktadır. Bu nedenle iklim politikaları ve karbon düzenlemeleri, enerji piyasalarını doğrudan etkileyen en önemli düzenleme alanlarından biri hâline gelmektedir.</w:t>
      </w:r>
    </w:p>
    <w:p w:rsidRPr="00F43810" w:rsidR="00112119" w:rsidP="058DFE7F" w:rsidRDefault="00112119" w14:paraId="371B02FB" w14:textId="74F332E5">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Son yıllarda karbon fiyatlandırması, emisyon ticareti sistemleri ve sınırda karbon düzenlemeleri ile birlikte enerji üretimi ve enerji ticareti yeni bir hukuki çerçeve içinde değerlendirilmektedir. Bu süreç yalnızca çevresel hedeflerle sınırlı kalmamakta; aynı zamanda enerji piyasasında faaliyet gösteren şirketlerin maliyet yapısını, yatırım kararlarını ve uluslararası ticaret ilişkilerini de etkilemektedir. Bu nedenle enerji sektöründeki yeşil dönüşüm yalnızca teknolojik bir değişimi değil, aynı zamanda hukuk ve ticaret düzenlemeleri açısından yeni bir dönemi ifade etmektedir.</w:t>
      </w:r>
    </w:p>
    <w:p w:rsidRPr="00F43810" w:rsidR="00112119" w:rsidP="058DFE7F" w:rsidRDefault="00112119" w14:paraId="4D9D6A4B" w14:textId="72DEF419">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Aşağıda bu dönüşümün hukuki boyutu temel başlıklar altında özetlenmektedir.</w:t>
      </w:r>
    </w:p>
    <w:p w:rsidRPr="00F43810" w:rsidR="00112119" w:rsidP="058DFE7F" w:rsidRDefault="00112119" w14:paraId="47025301" w14:textId="4186C7E7">
      <w:pPr>
        <w:spacing w:before="240" w:beforeAutospacing="off" w:after="240" w:afterAutospacing="off" w:line="276" w:lineRule="auto"/>
        <w:jc w:val="both"/>
        <w:textAlignment w:val="baseline"/>
        <w:rPr>
          <w:rFonts w:ascii="Arial" w:hAnsi="Arial" w:eastAsia="Arial" w:cs="Arial"/>
          <w:b w:val="1"/>
          <w:bCs w:val="1"/>
          <w:noProof/>
          <w:sz w:val="22"/>
          <w:szCs w:val="22"/>
          <w:lang w:val="tr-TR"/>
        </w:rPr>
      </w:pPr>
      <w:r w:rsidRPr="058DFE7F" w:rsidR="5FD936C7">
        <w:rPr>
          <w:rFonts w:ascii="Arial" w:hAnsi="Arial" w:eastAsia="Arial" w:cs="Arial"/>
          <w:b w:val="1"/>
          <w:bCs w:val="1"/>
          <w:noProof/>
          <w:sz w:val="22"/>
          <w:szCs w:val="22"/>
          <w:lang w:val="tr-TR"/>
        </w:rPr>
        <w:t>1. Karbon Piyasalarının Ortaya Çıkışı</w:t>
      </w:r>
    </w:p>
    <w:p w:rsidRPr="00F43810" w:rsidR="00112119" w:rsidP="058DFE7F" w:rsidRDefault="00112119" w14:paraId="3FDE7EF6" w14:textId="3A9D8D64">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Karbon piyasaları, sera gazı emisyonlarını azaltmayı hedefleyen ekonomik ve hukuki araçlar arasında yer almaktadır. Bu sistemlerin temelinde, belirli bir emisyon sınırının oluşturulması ve bu sınır içinde şirketlere emisyon hakkı tahsis edilmesi yer almaktadır.</w:t>
      </w:r>
    </w:p>
    <w:p w:rsidRPr="00F43810" w:rsidR="00112119" w:rsidP="058DFE7F" w:rsidRDefault="00112119" w14:paraId="273717F1" w14:textId="430465D8">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Şirketler kendilerine tahsis edilen emisyon hakkını kullanabildiği gibi, ihtiyaç duymadıkları hakları piyasa içinde satabilir ya da ek emisyon hakkı satın alabilir. Böylece karbon emisyonu ekonomik bir değere dönüşür ve piyasada alınıp satılabilen bir varlık hâline gelir.</w:t>
      </w:r>
    </w:p>
    <w:p w:rsidRPr="00F43810" w:rsidR="00112119" w:rsidP="058DFE7F" w:rsidRDefault="00112119" w14:paraId="223763CF" w14:textId="5229F500">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Bu mekanizma birçok ülkede Emisyon Ticaret Sistemi olarak uygulanmaktadır. Avrupa Birliği’nde yürürlükte olan EU Emissions Trading System, dünyanın en büyük karbon piyasalarından biridir ve özellikle enerji üretim tesisleri başta olmak üzere birçok sektörü kapsamaktadır.</w:t>
      </w:r>
    </w:p>
    <w:p w:rsidRPr="00F43810" w:rsidR="00112119" w:rsidP="058DFE7F" w:rsidRDefault="00112119" w14:paraId="4157D6AE" w14:textId="45F96FA4">
      <w:pPr>
        <w:spacing w:before="240" w:beforeAutospacing="off" w:after="240" w:afterAutospacing="off" w:line="276" w:lineRule="auto"/>
        <w:jc w:val="both"/>
        <w:textAlignment w:val="baseline"/>
        <w:rPr>
          <w:rFonts w:ascii="Arial" w:hAnsi="Arial" w:eastAsia="Arial" w:cs="Arial"/>
          <w:b w:val="1"/>
          <w:bCs w:val="1"/>
          <w:noProof/>
          <w:sz w:val="22"/>
          <w:szCs w:val="22"/>
          <w:lang w:val="tr-TR"/>
        </w:rPr>
      </w:pPr>
      <w:r w:rsidRPr="058DFE7F" w:rsidR="5FD936C7">
        <w:rPr>
          <w:rFonts w:ascii="Arial" w:hAnsi="Arial" w:eastAsia="Arial" w:cs="Arial"/>
          <w:b w:val="1"/>
          <w:bCs w:val="1"/>
          <w:noProof/>
          <w:sz w:val="22"/>
          <w:szCs w:val="22"/>
          <w:lang w:val="tr-TR"/>
        </w:rPr>
        <w:t>2. Enerji Üretiminde Karbon Maliyeti</w:t>
      </w:r>
    </w:p>
    <w:p w:rsidRPr="00F43810" w:rsidR="00112119" w:rsidP="058DFE7F" w:rsidRDefault="00112119" w14:paraId="2DA60F42" w14:textId="65BAAF9D">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Emisyon ticareti sistemleri ile birlikte enerji üretimi doğrudan karbon maliyetine bağlı hâle gelmektedir. Fosil yakıta dayalı üretim yapan enerji tesisleri, karbon fiyatlarındaki değişimden doğrudan etkilenmektedir. Kömür ve doğal gaz gibi kaynaklara dayalı üretim faaliyetleri, karbon fiyatının yükseldiği dönemlerde daha yüksek maliyetle karşılaşmaktadır.</w:t>
      </w:r>
    </w:p>
    <w:p w:rsidRPr="00F43810" w:rsidR="00112119" w:rsidP="058DFE7F" w:rsidRDefault="00112119" w14:paraId="0B8307C5" w14:textId="13B67210">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Bu durum enerji üreticileri açısından yalnızca çevresel bir sorumluluk değil, aynı zamanda ekonomik bir maliyet anlamına gelmektedir. Karbon fiyatı artık enerji üretim maliyetlerini, elektrik piyasasındaki fiyat oluşumunu ve enerji yatırımlarının yönünü etkileyen önemli bir faktör hâline gelmektedir. Bu nedenle enerji sektöründe faaliyet gösteren şirketler için karbon maliyetinin yönetimi stratejik bir konu olarak öne çıkmaktadır.</w:t>
      </w:r>
    </w:p>
    <w:p w:rsidRPr="00F43810" w:rsidR="00112119" w:rsidP="058DFE7F" w:rsidRDefault="00112119" w14:paraId="70B4A90F" w14:textId="070EE352">
      <w:pPr>
        <w:spacing w:before="240" w:beforeAutospacing="off" w:after="240" w:afterAutospacing="off" w:line="276" w:lineRule="auto"/>
        <w:jc w:val="both"/>
        <w:textAlignment w:val="baseline"/>
        <w:rPr>
          <w:rFonts w:ascii="Arial" w:hAnsi="Arial" w:eastAsia="Arial" w:cs="Arial"/>
          <w:b w:val="1"/>
          <w:bCs w:val="1"/>
          <w:noProof/>
          <w:sz w:val="22"/>
          <w:szCs w:val="22"/>
          <w:lang w:val="tr-TR"/>
        </w:rPr>
      </w:pPr>
      <w:r w:rsidRPr="058DFE7F" w:rsidR="5FD936C7">
        <w:rPr>
          <w:rFonts w:ascii="Arial" w:hAnsi="Arial" w:eastAsia="Arial" w:cs="Arial"/>
          <w:b w:val="1"/>
          <w:bCs w:val="1"/>
          <w:noProof/>
          <w:sz w:val="22"/>
          <w:szCs w:val="22"/>
          <w:lang w:val="tr-TR"/>
        </w:rPr>
        <w:t>3. Sınırda Karbon Düzenlemeleri ve Enerji Ticareti</w:t>
      </w:r>
    </w:p>
    <w:p w:rsidRPr="00F43810" w:rsidR="00112119" w:rsidP="058DFE7F" w:rsidRDefault="00112119" w14:paraId="5A1A20C7" w14:textId="438C2B17">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Enerji sektörü açısından dikkat çeken bir diğer gelişme, sınırda karbon düzenlemeleridir. Avrupa Birliği tarafından geliştirilen Carbon Border Adjustment Mechanism sistemi, bu dönüşümün önemli araçlarından biridir. Bu sistem, Avrupa Birliği içinde karbon maliyeti ödeyen üreticiler ile Avrupa Birliği dışından gelen ürünler arasında rekabet dengesi oluşturmayı amaçlamaktadır.</w:t>
      </w:r>
    </w:p>
    <w:p w:rsidRPr="00F43810" w:rsidR="00112119" w:rsidP="058DFE7F" w:rsidRDefault="00112119" w14:paraId="75BD1069" w14:textId="7ABD2111">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Bu kapsamda, bazı ürünlerin Avrupa Birliği’ne ithalatında ürünün üretim sürecinde ortaya çıkan karbon emisyonu dikkate alınmaktadır. İthalatçılar, bu emisyonlara karşılık gelen karbon maliyetini karşılamak zorunda kalmaktadır. Bu düzenleme özellikle enerji yoğun üretim yapan sektörlerin uluslararası ticaretini doğrudan etkilemektedir.</w:t>
      </w:r>
    </w:p>
    <w:p w:rsidRPr="00F43810" w:rsidR="00112119" w:rsidP="058DFE7F" w:rsidRDefault="00112119" w14:paraId="3643415E" w14:textId="6B796589">
      <w:pPr>
        <w:spacing w:before="240" w:beforeAutospacing="off" w:after="240" w:afterAutospacing="off" w:line="276" w:lineRule="auto"/>
        <w:jc w:val="both"/>
        <w:textAlignment w:val="baseline"/>
        <w:rPr>
          <w:rFonts w:ascii="Arial" w:hAnsi="Arial" w:eastAsia="Arial" w:cs="Arial"/>
          <w:b w:val="1"/>
          <w:bCs w:val="1"/>
          <w:noProof/>
          <w:sz w:val="22"/>
          <w:szCs w:val="22"/>
          <w:lang w:val="tr-TR"/>
        </w:rPr>
      </w:pPr>
      <w:r w:rsidRPr="058DFE7F" w:rsidR="5FD936C7">
        <w:rPr>
          <w:rFonts w:ascii="Arial" w:hAnsi="Arial" w:eastAsia="Arial" w:cs="Arial"/>
          <w:b w:val="1"/>
          <w:bCs w:val="1"/>
          <w:noProof/>
          <w:sz w:val="22"/>
          <w:szCs w:val="22"/>
          <w:lang w:val="tr-TR"/>
        </w:rPr>
        <w:t>4. Enerji Piyasalarında Yeni Hukuki Yükümlülükler</w:t>
      </w:r>
    </w:p>
    <w:p w:rsidRPr="00F43810" w:rsidR="00112119" w:rsidP="058DFE7F" w:rsidRDefault="00112119" w14:paraId="082F7A6C" w14:textId="2D86B3B8">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Enerji sektöründe yaşanan yeşil dönüşüm, şirketler açısından birçok yeni hukuki yükümlülük ortaya çıkarmaktadır. Enerji üretim tesisleri ve enerji yoğun üretim yapan sanayi şirketleri, karbon emisyonlarını daha sistematik şekilde izlemek ve raporlamak zorunda kalmaktadır.</w:t>
      </w:r>
    </w:p>
    <w:p w:rsidRPr="00F43810" w:rsidR="00112119" w:rsidP="058DFE7F" w:rsidRDefault="00112119" w14:paraId="3F77FB64" w14:textId="2B207521">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Emisyon verilerinin ölçülmesi, doğrulanması ve raporlanması, enerji sektöründe faaliyet gösteren şirketler için önemli bir yükümlülük hâline gelmektedir. Bunun yanında sürdürülebilirlik raporları, karbon maliyetlerinin finansal planlamaya dâhil edilmesi ve enerji yatırımlarının düşük karbonlu üretim modellerine yönlendirilmesi gibi konular da giderek daha fazla önem kazanmaktadır.</w:t>
      </w:r>
    </w:p>
    <w:p w:rsidRPr="00F43810" w:rsidR="00112119" w:rsidP="058DFE7F" w:rsidRDefault="00112119" w14:paraId="12558202" w14:textId="5F1FFB3F">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Bu düzenlemeler yalnızca enerji üreticilerini değil, enerji yoğun üretim yapan sanayi şirketlerini de kapsayan geniş bir uyum süreci oluşturmaktadır.</w:t>
      </w:r>
    </w:p>
    <w:p w:rsidRPr="00F43810" w:rsidR="00112119" w:rsidP="058DFE7F" w:rsidRDefault="00112119" w14:paraId="3C576643" w14:textId="4628244A">
      <w:pPr>
        <w:spacing w:before="240" w:beforeAutospacing="off" w:after="240" w:afterAutospacing="off" w:line="276" w:lineRule="auto"/>
        <w:jc w:val="both"/>
        <w:textAlignment w:val="baseline"/>
        <w:rPr>
          <w:rFonts w:ascii="Arial" w:hAnsi="Arial" w:eastAsia="Arial" w:cs="Arial"/>
          <w:b w:val="1"/>
          <w:bCs w:val="1"/>
          <w:noProof/>
          <w:sz w:val="22"/>
          <w:szCs w:val="22"/>
          <w:lang w:val="tr-TR"/>
        </w:rPr>
      </w:pPr>
      <w:r w:rsidRPr="058DFE7F" w:rsidR="5FD936C7">
        <w:rPr>
          <w:rFonts w:ascii="Arial" w:hAnsi="Arial" w:eastAsia="Arial" w:cs="Arial"/>
          <w:b w:val="1"/>
          <w:bCs w:val="1"/>
          <w:noProof/>
          <w:sz w:val="22"/>
          <w:szCs w:val="22"/>
          <w:lang w:val="tr-TR"/>
        </w:rPr>
        <w:t>5. Türkiye Açısından Hukuki Gelişmeler</w:t>
      </w:r>
    </w:p>
    <w:p w:rsidRPr="00F43810" w:rsidR="00112119" w:rsidP="058DFE7F" w:rsidRDefault="00112119" w14:paraId="63675255" w14:textId="11ED6CF3">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Türkiye de küresel karbon piyasaları ile uyum sürecine girmektedir. Avrupa Birliği ile ticaret ilişkilerinin yoğunluğu, bu süreci Türkiye açısından daha önemli hâle getirmektedir. Bu kapsamda ulusal emisyon ticaret sistemi hazırlıkları, İklim Kanunu çalışmaları ve karbon fiyatlandırmasına yönelik düzenlemeler gündemde yer almaktadır.</w:t>
      </w:r>
    </w:p>
    <w:p w:rsidRPr="00F43810" w:rsidR="00112119" w:rsidP="058DFE7F" w:rsidRDefault="00112119" w14:paraId="76642168" w14:textId="1FF255A0">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Türkiye’de geliştirilen bu düzenlemelerin amacı, hem uluslararası karbon piyasaları ile uyum sağlamak hem de Avrupa Birliği ile ticaret yapan sektörlerin yeni düzenlemelere daha kolay uyum sağlamasına yardımcı olmaktır. Özellikle ihracat odaklı sektörler için bu hukuki gelişmeler doğrudan ekonomik sonuçlar doğurabilecek nitelik taşımaktadır.</w:t>
      </w:r>
    </w:p>
    <w:p w:rsidRPr="00F43810" w:rsidR="00112119" w:rsidP="058DFE7F" w:rsidRDefault="00112119" w14:paraId="3F866F7D" w14:textId="3089EDA3">
      <w:pPr>
        <w:spacing w:before="240" w:beforeAutospacing="off" w:after="240" w:afterAutospacing="off" w:line="276" w:lineRule="auto"/>
        <w:jc w:val="both"/>
        <w:textAlignment w:val="baseline"/>
        <w:rPr>
          <w:rFonts w:ascii="Arial" w:hAnsi="Arial" w:eastAsia="Arial" w:cs="Arial"/>
          <w:b w:val="1"/>
          <w:bCs w:val="1"/>
          <w:noProof/>
          <w:sz w:val="22"/>
          <w:szCs w:val="22"/>
          <w:lang w:val="tr-TR"/>
        </w:rPr>
      </w:pPr>
      <w:r w:rsidRPr="058DFE7F" w:rsidR="5FD936C7">
        <w:rPr>
          <w:rFonts w:ascii="Arial" w:hAnsi="Arial" w:eastAsia="Arial" w:cs="Arial"/>
          <w:b w:val="1"/>
          <w:bCs w:val="1"/>
          <w:noProof/>
          <w:sz w:val="22"/>
          <w:szCs w:val="22"/>
          <w:lang w:val="tr-TR"/>
        </w:rPr>
        <w:t>Sonuç</w:t>
      </w:r>
    </w:p>
    <w:p w:rsidRPr="00F43810" w:rsidR="00112119" w:rsidP="058DFE7F" w:rsidRDefault="00112119" w14:paraId="09556A69" w14:textId="67B86F15">
      <w:pPr>
        <w:spacing w:before="240" w:beforeAutospacing="off" w:after="240" w:afterAutospacing="off" w:line="276" w:lineRule="auto"/>
        <w:jc w:val="both"/>
        <w:textAlignment w:val="baseline"/>
        <w:rPr>
          <w:rFonts w:ascii="Arial" w:hAnsi="Arial" w:eastAsia="Arial" w:cs="Arial"/>
          <w:noProof/>
          <w:sz w:val="22"/>
          <w:szCs w:val="22"/>
          <w:lang w:val="tr-TR"/>
        </w:rPr>
      </w:pPr>
      <w:r w:rsidRPr="058DFE7F" w:rsidR="5FD936C7">
        <w:rPr>
          <w:rFonts w:ascii="Arial" w:hAnsi="Arial" w:eastAsia="Arial" w:cs="Arial"/>
          <w:noProof/>
          <w:sz w:val="22"/>
          <w:szCs w:val="22"/>
          <w:lang w:val="tr-TR"/>
        </w:rPr>
        <w:t>Enerji sektöründe yeşil dönüşüm yalnızca teknolojik bir değişim değildir. Aynı zamanda karbon piyasaları, emisyon ticareti sistemleri ve sınırda karbon düzenlemeleri ile şekillenen kapsamlı bir hukuki dönüşümü ifade etmektedir.</w:t>
      </w:r>
    </w:p>
    <w:p w:rsidRPr="00F43810" w:rsidR="00112119" w:rsidP="058DFE7F" w:rsidRDefault="00112119" w14:paraId="02C180EA" w14:textId="4F7718F3">
      <w:pPr>
        <w:spacing w:before="240" w:beforeAutospacing="off" w:after="240" w:afterAutospacing="off" w:line="276" w:lineRule="auto"/>
        <w:jc w:val="both"/>
        <w:textAlignment w:val="baseline"/>
        <w:rPr>
          <w:rFonts w:ascii="Arial" w:hAnsi="Arial" w:eastAsia="Arial" w:cs="Arial"/>
          <w:noProof/>
          <w:kern w:val="0"/>
          <w:sz w:val="22"/>
          <w:szCs w:val="22"/>
          <w:lang w:val="tr-TR"/>
          <w14:ligatures w14:val="none"/>
        </w:rPr>
      </w:pPr>
      <w:r w:rsidRPr="058DFE7F" w:rsidR="5FD936C7">
        <w:rPr>
          <w:rFonts w:ascii="Arial" w:hAnsi="Arial" w:eastAsia="Arial" w:cs="Arial"/>
          <w:noProof/>
          <w:sz w:val="22"/>
          <w:szCs w:val="22"/>
          <w:lang w:val="tr-TR"/>
        </w:rPr>
        <w:t>Enerji üretim maliyetleri, ticaret ilişkileri ve yatırım kararları giderek daha fazla karbon politikalarıyla bağlantılı hâle gelmektedir. Bu nedenle enerji sektöründe faaliyet gösteren şirketler için karbon maliyetinin yönetimi ve yeni düzenlemelere uyum sağlanması, rekabet gücü açısından giderek daha kritik bir konu hâline gelmektedir.</w:t>
      </w:r>
    </w:p>
    <w:p w:rsidRPr="00F43810" w:rsidR="00112119" w:rsidP="058DFE7F" w:rsidRDefault="00112119" w14:paraId="475FF5F0" w14:textId="77777777">
      <w:pPr>
        <w:spacing w:line="276" w:lineRule="auto"/>
        <w:jc w:val="both"/>
        <w:rPr>
          <w:rFonts w:ascii="Arial" w:hAnsi="Arial" w:eastAsia="Arial" w:cs="Arial"/>
          <w:sz w:val="22"/>
          <w:szCs w:val="22"/>
          <w:lang w:val="tr-TR"/>
        </w:rPr>
      </w:pPr>
    </w:p>
    <w:p w:rsidRPr="00F43810" w:rsidR="00844EDB" w:rsidP="058DFE7F" w:rsidRDefault="00844EDB" w14:paraId="2B3F2DDD" w14:textId="77777777">
      <w:pPr>
        <w:spacing w:line="276" w:lineRule="auto"/>
        <w:jc w:val="both"/>
        <w:rPr>
          <w:rFonts w:ascii="Arial" w:hAnsi="Arial" w:eastAsia="Arial" w:cs="Arial"/>
          <w:sz w:val="22"/>
          <w:szCs w:val="22"/>
          <w:lang w:val="tr-TR"/>
        </w:rPr>
      </w:pPr>
      <w:r w:rsidRPr="058DFE7F">
        <w:rPr>
          <w:rFonts w:ascii="Arial" w:hAnsi="Arial" w:eastAsia="Arial" w:cs="Arial"/>
          <w:sz w:val="22"/>
          <w:szCs w:val="22"/>
          <w:lang w:val="tr-TR"/>
        </w:rPr>
        <w:br w:type="page"/>
      </w:r>
    </w:p>
    <w:p w:rsidRPr="00F43810" w:rsidR="00093897" w:rsidP="058DFE7F" w:rsidRDefault="00093897" w14:paraId="74860159" w14:textId="6D2D1F83">
      <w:pPr>
        <w:spacing w:line="276" w:lineRule="auto"/>
        <w:jc w:val="both"/>
        <w:rPr>
          <w:rFonts w:ascii="Arial" w:hAnsi="Arial" w:eastAsia="Arial" w:cs="Arial"/>
          <w:sz w:val="22"/>
          <w:szCs w:val="22"/>
          <w:lang w:val="tr-TR"/>
        </w:rPr>
      </w:pPr>
      <w:r w:rsidRPr="058DFE7F" w:rsidR="00093897">
        <w:rPr>
          <w:rFonts w:ascii="Arial" w:hAnsi="Arial" w:eastAsia="Arial" w:cs="Arial"/>
          <w:sz w:val="22"/>
          <w:szCs w:val="22"/>
          <w:lang w:val="tr-TR"/>
        </w:rPr>
        <w:t>ARALIK 2025</w:t>
      </w:r>
    </w:p>
    <w:p w:rsidR="5E4B47BB" w:rsidP="058DFE7F" w:rsidRDefault="5E4B47BB" w14:paraId="4385D173" w14:textId="78448012">
      <w:pPr>
        <w:spacing w:before="240" w:beforeAutospacing="off" w:after="240" w:afterAutospacing="off"/>
        <w:jc w:val="both"/>
        <w:rPr>
          <w:rFonts w:ascii="Arial" w:hAnsi="Arial" w:eastAsia="Arial" w:cs="Arial"/>
          <w:b w:val="1"/>
          <w:bCs w:val="1"/>
          <w:noProof w:val="0"/>
          <w:sz w:val="22"/>
          <w:szCs w:val="22"/>
          <w:lang w:val="tr-TR"/>
        </w:rPr>
      </w:pPr>
      <w:r w:rsidRPr="058DFE7F" w:rsidR="5E4B47BB">
        <w:rPr>
          <w:rFonts w:ascii="Arial" w:hAnsi="Arial" w:eastAsia="Arial" w:cs="Arial"/>
          <w:b w:val="1"/>
          <w:bCs w:val="1"/>
          <w:noProof w:val="0"/>
          <w:sz w:val="22"/>
          <w:szCs w:val="22"/>
          <w:lang w:val="tr-TR"/>
        </w:rPr>
        <w:t>SUSTAINABILITY LAW SERIES #6 – THE CONCEPT OF EMISSIONS AND ITS LEGAL SIGNIFICANCE</w:t>
      </w:r>
    </w:p>
    <w:p w:rsidR="5E4B47BB" w:rsidP="058DFE7F" w:rsidRDefault="5E4B47BB" w14:paraId="18B62243" w14:textId="02AFA79B">
      <w:pPr>
        <w:spacing w:before="240" w:beforeAutospacing="off" w:after="240" w:afterAutospacing="off"/>
        <w:jc w:val="both"/>
        <w:rPr>
          <w:rFonts w:ascii="Arial" w:hAnsi="Arial" w:eastAsia="Arial" w:cs="Arial"/>
          <w:b w:val="1"/>
          <w:bCs w:val="1"/>
          <w:noProof w:val="0"/>
          <w:sz w:val="22"/>
          <w:szCs w:val="22"/>
          <w:lang w:val="tr-TR"/>
        </w:rPr>
      </w:pPr>
      <w:r w:rsidRPr="058DFE7F" w:rsidR="5E4B47BB">
        <w:rPr>
          <w:rFonts w:ascii="Arial" w:hAnsi="Arial" w:eastAsia="Arial" w:cs="Arial"/>
          <w:b w:val="1"/>
          <w:bCs w:val="1"/>
          <w:noProof w:val="0"/>
          <w:sz w:val="22"/>
          <w:szCs w:val="22"/>
          <w:lang w:val="tr-TR"/>
        </w:rPr>
        <w:t>The Concept of Emissions in CBAM and Its Legal Significance</w:t>
      </w:r>
    </w:p>
    <w:p w:rsidR="5E4B47BB" w:rsidP="058DFE7F" w:rsidRDefault="5E4B47BB" w14:paraId="4FD7CE66" w14:textId="687DA93D">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The European Union’s Carbon Border Adjustment Mechanism (“CBAM”) is a comprehensive regulatory framework designed to align the carbon emissions embedded in imported products with the carbon pricing applied within the internal market.</w:t>
      </w:r>
    </w:p>
    <w:p w:rsidR="5E4B47BB" w:rsidP="058DFE7F" w:rsidRDefault="5E4B47BB" w14:paraId="1B119831" w14:textId="06CD5F2D">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This framework marks a period in which emissions arising from production processes are redefined not merely as environmental data but also as commercial and legal obligations.</w:t>
      </w:r>
    </w:p>
    <w:p w:rsidR="5E4B47BB" w:rsidP="058DFE7F" w:rsidRDefault="5E4B47BB" w14:paraId="12F2B096" w14:textId="407D17B3">
      <w:pPr>
        <w:spacing w:before="240" w:beforeAutospacing="off" w:after="240" w:afterAutospacing="off"/>
        <w:jc w:val="both"/>
        <w:rPr>
          <w:rFonts w:ascii="Arial" w:hAnsi="Arial" w:eastAsia="Arial" w:cs="Arial"/>
          <w:b w:val="1"/>
          <w:bCs w:val="1"/>
          <w:noProof w:val="0"/>
          <w:sz w:val="22"/>
          <w:szCs w:val="22"/>
          <w:lang w:val="tr-TR"/>
        </w:rPr>
      </w:pPr>
      <w:r w:rsidRPr="058DFE7F" w:rsidR="5E4B47BB">
        <w:rPr>
          <w:rFonts w:ascii="Arial" w:hAnsi="Arial" w:eastAsia="Arial" w:cs="Arial"/>
          <w:b w:val="1"/>
          <w:bCs w:val="1"/>
          <w:noProof w:val="0"/>
          <w:sz w:val="22"/>
          <w:szCs w:val="22"/>
          <w:lang w:val="tr-TR"/>
        </w:rPr>
        <w:t>Purpose and Legal Position of CBAM</w:t>
      </w:r>
    </w:p>
    <w:p w:rsidR="5E4B47BB" w:rsidP="058DFE7F" w:rsidRDefault="5E4B47BB" w14:paraId="4D7E6DF5" w14:textId="29392D4B">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CBAM aims to prevent the risk of carbon leakage in products imported into the EU.</w:t>
      </w:r>
    </w:p>
    <w:p w:rsidR="5E4B47BB" w:rsidP="058DFE7F" w:rsidRDefault="5E4B47BB" w14:paraId="42EA30E9" w14:textId="193E91CC">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As a result, the emissions generated during a product’s manufacturing process become a metric with direct legal consequences in external trade relations.</w:t>
      </w:r>
    </w:p>
    <w:p w:rsidR="5E4B47BB" w:rsidP="058DFE7F" w:rsidRDefault="5E4B47BB" w14:paraId="4A128AFF" w14:textId="20169F9A">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Accurate reporting of emission levels, ensuring their verifiability, and alignment with EU-prescribed methodologies are central to the mechanism.</w:t>
      </w:r>
    </w:p>
    <w:p w:rsidR="5E4B47BB" w:rsidP="058DFE7F" w:rsidRDefault="5E4B47BB" w14:paraId="0391D147" w14:textId="6B93FFA6">
      <w:pPr>
        <w:spacing w:before="240" w:beforeAutospacing="off" w:after="240" w:afterAutospacing="off"/>
        <w:jc w:val="both"/>
        <w:rPr>
          <w:rFonts w:ascii="Arial" w:hAnsi="Arial" w:eastAsia="Arial" w:cs="Arial"/>
          <w:b w:val="1"/>
          <w:bCs w:val="1"/>
          <w:noProof w:val="0"/>
          <w:sz w:val="22"/>
          <w:szCs w:val="22"/>
          <w:lang w:val="tr-TR"/>
        </w:rPr>
      </w:pPr>
      <w:r w:rsidRPr="058DFE7F" w:rsidR="5E4B47BB">
        <w:rPr>
          <w:rFonts w:ascii="Arial" w:hAnsi="Arial" w:eastAsia="Arial" w:cs="Arial"/>
          <w:b w:val="1"/>
          <w:bCs w:val="1"/>
          <w:noProof w:val="0"/>
          <w:sz w:val="22"/>
          <w:szCs w:val="22"/>
          <w:lang w:val="tr-TR"/>
        </w:rPr>
        <w:t>The Legal Nature of the Concept of Emissions</w:t>
      </w:r>
    </w:p>
    <w:p w:rsidR="5E4B47BB" w:rsidP="058DFE7F" w:rsidRDefault="5E4B47BB" w14:paraId="6970B34B" w14:textId="31DE6E57">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Within the scope of CBAM, “emissions” are not merely a technical calculation; they form the legal basis for financial obligations, reporting duties, and compliance oversight.</w:t>
      </w:r>
    </w:p>
    <w:p w:rsidR="5E4B47BB" w:rsidP="058DFE7F" w:rsidRDefault="5E4B47BB" w14:paraId="2F7DB24E" w14:textId="4AD38CD2">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The importer’s obligation to purchase CBAM certificates is determined based on the emission data declared by the exporter.</w:t>
      </w:r>
    </w:p>
    <w:p w:rsidR="5E4B47BB" w:rsidP="058DFE7F" w:rsidRDefault="5E4B47BB" w14:paraId="056267E5" w14:textId="1F73A83D">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Consequently, emissions become a binding determinant for all parties throughout the supply chain.</w:t>
      </w:r>
    </w:p>
    <w:p w:rsidR="5E4B47BB" w:rsidP="058DFE7F" w:rsidRDefault="5E4B47BB" w14:paraId="7882631A" w14:textId="4ED8B3D3">
      <w:pPr>
        <w:spacing w:before="240" w:beforeAutospacing="off" w:after="240" w:afterAutospacing="off"/>
        <w:jc w:val="both"/>
        <w:rPr>
          <w:rFonts w:ascii="Arial" w:hAnsi="Arial" w:eastAsia="Arial" w:cs="Arial"/>
          <w:b w:val="1"/>
          <w:bCs w:val="1"/>
          <w:noProof w:val="0"/>
          <w:sz w:val="22"/>
          <w:szCs w:val="22"/>
          <w:lang w:val="tr-TR"/>
        </w:rPr>
      </w:pPr>
      <w:r w:rsidRPr="058DFE7F" w:rsidR="5E4B47BB">
        <w:rPr>
          <w:rFonts w:ascii="Arial" w:hAnsi="Arial" w:eastAsia="Arial" w:cs="Arial"/>
          <w:b w:val="1"/>
          <w:bCs w:val="1"/>
          <w:noProof w:val="0"/>
          <w:sz w:val="22"/>
          <w:szCs w:val="22"/>
          <w:lang w:val="tr-TR"/>
        </w:rPr>
        <w:t>Resulting Responsibilities for Companies</w:t>
      </w:r>
    </w:p>
    <w:p w:rsidR="5E4B47BB" w:rsidP="058DFE7F" w:rsidRDefault="5E4B47BB" w14:paraId="24859F78" w14:textId="6DFFCDA1">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Incorrect, incomplete, or methodology-inconsistent emission reporting may lead to various sanctions and commercial consequences under EU law.</w:t>
      </w:r>
    </w:p>
    <w:p w:rsidR="5E4B47BB" w:rsidP="058DFE7F" w:rsidRDefault="5E4B47BB" w14:paraId="7FEDCFB7" w14:textId="096D7434">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This situation affects not only the importer but also the exporter, as every piece of shared data becomes part of the contractual relationship.</w:t>
      </w:r>
    </w:p>
    <w:p w:rsidR="5E4B47BB" w:rsidP="058DFE7F" w:rsidRDefault="5E4B47BB" w14:paraId="7C521258" w14:textId="0A06071E">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Accordingly, companies must conduct both legal and internal compliance processes simultaneously throughout their CBAM alignment efforts.</w:t>
      </w:r>
    </w:p>
    <w:p w:rsidR="5E4B47BB" w:rsidP="058DFE7F" w:rsidRDefault="5E4B47BB" w14:paraId="4214EB24" w14:textId="0EC2523F">
      <w:pPr>
        <w:spacing w:before="240" w:beforeAutospacing="off" w:after="240" w:afterAutospacing="off"/>
        <w:jc w:val="both"/>
        <w:rPr>
          <w:rFonts w:ascii="Arial" w:hAnsi="Arial" w:eastAsia="Arial" w:cs="Arial"/>
          <w:b w:val="1"/>
          <w:bCs w:val="1"/>
          <w:noProof w:val="0"/>
          <w:sz w:val="22"/>
          <w:szCs w:val="22"/>
          <w:lang w:val="tr-TR"/>
        </w:rPr>
      </w:pPr>
      <w:r w:rsidRPr="058DFE7F" w:rsidR="5E4B47BB">
        <w:rPr>
          <w:rFonts w:ascii="Arial" w:hAnsi="Arial" w:eastAsia="Arial" w:cs="Arial"/>
          <w:b w:val="1"/>
          <w:bCs w:val="1"/>
          <w:noProof w:val="0"/>
          <w:sz w:val="22"/>
          <w:szCs w:val="22"/>
          <w:lang w:val="tr-TR"/>
        </w:rPr>
        <w:t>Contractual Impact and Supply Chain Linkage</w:t>
      </w:r>
    </w:p>
    <w:p w:rsidR="5E4B47BB" w:rsidP="058DFE7F" w:rsidRDefault="5E4B47BB" w14:paraId="2C680D12" w14:textId="4D0EADE7">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CBAM has established a new contractual framework among actors within the supply chain.</w:t>
      </w:r>
    </w:p>
    <w:p w:rsidR="5E4B47BB" w:rsidP="058DFE7F" w:rsidRDefault="5E4B47BB" w14:paraId="2D37EE10" w14:textId="18C975A9">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The scope of emission data sharing, the conditions for verification, the allocation of responsibility, and the consequences of inaccurate reporting must now be explicitly reflected in contracts.</w:t>
      </w:r>
    </w:p>
    <w:p w:rsidR="5E4B47BB" w:rsidP="058DFE7F" w:rsidRDefault="5E4B47BB" w14:paraId="328C6A10" w14:textId="1C8417A7">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Otherwise, the question of which party bears liability in the event of incorrect declarations may remain unresolved.</w:t>
      </w:r>
    </w:p>
    <w:p w:rsidR="5E4B47BB" w:rsidP="058DFE7F" w:rsidRDefault="5E4B47BB" w14:paraId="0B280915" w14:textId="376DEF0E">
      <w:pPr>
        <w:spacing w:before="240" w:beforeAutospacing="off" w:after="240" w:afterAutospacing="off"/>
        <w:jc w:val="both"/>
        <w:rPr>
          <w:rFonts w:ascii="Arial" w:hAnsi="Arial" w:eastAsia="Arial" w:cs="Arial"/>
          <w:b w:val="1"/>
          <w:bCs w:val="1"/>
          <w:noProof w:val="0"/>
          <w:sz w:val="22"/>
          <w:szCs w:val="22"/>
          <w:lang w:val="tr-TR"/>
        </w:rPr>
      </w:pPr>
      <w:r w:rsidRPr="058DFE7F" w:rsidR="5E4B47BB">
        <w:rPr>
          <w:rFonts w:ascii="Arial" w:hAnsi="Arial" w:eastAsia="Arial" w:cs="Arial"/>
          <w:b w:val="1"/>
          <w:bCs w:val="1"/>
          <w:noProof w:val="0"/>
          <w:sz w:val="22"/>
          <w:szCs w:val="22"/>
          <w:lang w:val="tr-TR"/>
        </w:rPr>
        <w:t>Strategic Importance of Legal Compliance</w:t>
      </w:r>
    </w:p>
    <w:p w:rsidR="5E4B47BB" w:rsidP="058DFE7F" w:rsidRDefault="5E4B47BB" w14:paraId="6FADB34E" w14:textId="75E088EC">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CBAM compliance is not merely a regulatory requirement; it constitutes a strategic necessity for preserving commercial continuity within the EU market.</w:t>
      </w:r>
    </w:p>
    <w:p w:rsidR="5E4B47BB" w:rsidP="058DFE7F" w:rsidRDefault="5E4B47BB" w14:paraId="72A8A82B" w14:textId="36095462">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The accurate definition of emissions, the legal responsibilities arising from shared data, and the establishment of a robust contractual framework protect companies from potential financial and legal risks.</w:t>
      </w:r>
    </w:p>
    <w:p w:rsidR="5E4B47BB" w:rsidP="058DFE7F" w:rsidRDefault="5E4B47BB" w14:paraId="1C1862C0" w14:textId="136BCC6C">
      <w:pPr>
        <w:spacing w:before="240" w:beforeAutospacing="off" w:after="240" w:afterAutospacing="off"/>
        <w:jc w:val="both"/>
        <w:rPr>
          <w:rFonts w:ascii="Arial" w:hAnsi="Arial" w:eastAsia="Arial" w:cs="Arial"/>
          <w:noProof w:val="0"/>
          <w:sz w:val="22"/>
          <w:szCs w:val="22"/>
          <w:lang w:val="tr-TR"/>
        </w:rPr>
      </w:pPr>
      <w:r w:rsidRPr="058DFE7F" w:rsidR="5E4B47BB">
        <w:rPr>
          <w:rFonts w:ascii="Arial" w:hAnsi="Arial" w:eastAsia="Arial" w:cs="Arial"/>
          <w:noProof w:val="0"/>
          <w:sz w:val="22"/>
          <w:szCs w:val="22"/>
          <w:lang w:val="tr-TR"/>
        </w:rPr>
        <w:t>For this reason, CBAM represents not only an environmental regulation but also a new-generation reform in trade law.</w:t>
      </w:r>
    </w:p>
    <w:p w:rsidR="058DFE7F" w:rsidP="058DFE7F" w:rsidRDefault="058DFE7F" w14:paraId="5CCBAD6A" w14:textId="666A0D71">
      <w:pPr>
        <w:spacing w:beforeAutospacing="on" w:afterAutospacing="on" w:line="276" w:lineRule="auto"/>
        <w:jc w:val="both"/>
        <w:rPr>
          <w:rFonts w:ascii="Arial" w:hAnsi="Arial" w:eastAsia="Arial" w:cs="Arial"/>
          <w:noProof w:val="0"/>
          <w:sz w:val="22"/>
          <w:szCs w:val="22"/>
          <w:lang w:val="tr-TR" w:eastAsia="tr-TR"/>
        </w:rPr>
      </w:pPr>
    </w:p>
    <w:p w:rsidRPr="00F43810" w:rsidR="00844EDB" w:rsidP="058DFE7F" w:rsidRDefault="00844EDB" w14:paraId="789073FE" w14:textId="77777777">
      <w:pPr>
        <w:spacing w:line="276" w:lineRule="auto"/>
        <w:jc w:val="both"/>
        <w:rPr>
          <w:rFonts w:ascii="Arial" w:hAnsi="Arial" w:eastAsia="Arial" w:cs="Arial"/>
          <w:sz w:val="22"/>
          <w:szCs w:val="22"/>
          <w:lang w:val="tr-TR"/>
        </w:rPr>
      </w:pPr>
      <w:r w:rsidRPr="058DFE7F">
        <w:rPr>
          <w:rFonts w:ascii="Arial" w:hAnsi="Arial" w:eastAsia="Arial" w:cs="Arial"/>
          <w:sz w:val="22"/>
          <w:szCs w:val="22"/>
          <w:lang w:val="tr-TR"/>
        </w:rPr>
        <w:br w:type="page"/>
      </w:r>
    </w:p>
    <w:p w:rsidRPr="00F43810" w:rsidR="001145C9" w:rsidP="058DFE7F" w:rsidRDefault="001145C9" w14:paraId="4972F623" w14:textId="5A60B18A">
      <w:pPr>
        <w:spacing w:line="276" w:lineRule="auto"/>
        <w:jc w:val="both"/>
        <w:rPr>
          <w:rFonts w:ascii="Arial" w:hAnsi="Arial" w:eastAsia="Arial" w:cs="Arial"/>
          <w:sz w:val="22"/>
          <w:szCs w:val="22"/>
          <w:lang w:val="tr-TR"/>
        </w:rPr>
      </w:pPr>
      <w:r w:rsidRPr="058DFE7F" w:rsidR="001145C9">
        <w:rPr>
          <w:rFonts w:ascii="Arial" w:hAnsi="Arial" w:eastAsia="Arial" w:cs="Arial"/>
          <w:sz w:val="22"/>
          <w:szCs w:val="22"/>
          <w:lang w:val="tr-TR"/>
        </w:rPr>
        <w:t>AĞUSTOS 2025</w:t>
      </w:r>
    </w:p>
    <w:p w:rsidR="454FE74D" w:rsidP="058DFE7F" w:rsidRDefault="454FE74D" w14:paraId="0717899A" w14:textId="6CDADF53">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SÜRDÜRÜLEBİLİRLİK HUKUKU SERİSİ #4 – AVRUPA BİRLİĞİ’NİN SINIRDA KARBON DÜZENLEME MEKANİZMASI (CBAM)</w:t>
      </w:r>
    </w:p>
    <w:p w:rsidR="454FE74D" w:rsidP="058DFE7F" w:rsidRDefault="454FE74D" w14:paraId="45E86175" w14:textId="28F02B46">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Sınırda Karbon Düzenleme Mekanizması (“SKDM”), karbon emisyonu yüksek ürünlerin AB’ye girişinde ek maliyet getiren bir uygulamadır. Böylece AB, hem çevreyi korumayı hem de düşük karbonlu üretimi teşvik etmeyi hedeflemektedir.</w:t>
      </w:r>
    </w:p>
    <w:p w:rsidR="454FE74D" w:rsidP="058DFE7F" w:rsidRDefault="454FE74D" w14:paraId="2A6FFA0F" w14:textId="45F3261E">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Hangi Ürünler Kapsamda?</w:t>
      </w:r>
    </w:p>
    <w:p w:rsidR="454FE74D" w:rsidP="058DFE7F" w:rsidRDefault="454FE74D" w14:paraId="0D0540B9" w14:textId="7F4C4208">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SKDM, karbon yoğun sektörleri kapsamaktadır:</w:t>
      </w:r>
    </w:p>
    <w:p w:rsidR="454FE74D" w:rsidP="058DFE7F" w:rsidRDefault="454FE74D" w14:paraId="04675250" w14:textId="65D6337D">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 Demir-çelik</w:t>
      </w:r>
      <w:r>
        <w:br/>
      </w:r>
      <w:r w:rsidRPr="058DFE7F" w:rsidR="454FE74D">
        <w:rPr>
          <w:rFonts w:ascii="Arial" w:hAnsi="Arial" w:eastAsia="Arial" w:cs="Arial"/>
          <w:noProof w:val="0"/>
          <w:sz w:val="22"/>
          <w:szCs w:val="22"/>
          <w:lang w:val="tr-TR"/>
        </w:rPr>
        <w:t xml:space="preserve"> → Alüminyum</w:t>
      </w:r>
      <w:r>
        <w:br/>
      </w:r>
      <w:r w:rsidRPr="058DFE7F" w:rsidR="454FE74D">
        <w:rPr>
          <w:rFonts w:ascii="Arial" w:hAnsi="Arial" w:eastAsia="Arial" w:cs="Arial"/>
          <w:noProof w:val="0"/>
          <w:sz w:val="22"/>
          <w:szCs w:val="22"/>
          <w:lang w:val="tr-TR"/>
        </w:rPr>
        <w:t xml:space="preserve"> → Çimento</w:t>
      </w:r>
      <w:r>
        <w:br/>
      </w:r>
      <w:r w:rsidRPr="058DFE7F" w:rsidR="454FE74D">
        <w:rPr>
          <w:rFonts w:ascii="Arial" w:hAnsi="Arial" w:eastAsia="Arial" w:cs="Arial"/>
          <w:noProof w:val="0"/>
          <w:sz w:val="22"/>
          <w:szCs w:val="22"/>
          <w:lang w:val="tr-TR"/>
        </w:rPr>
        <w:t xml:space="preserve"> → Gübre</w:t>
      </w:r>
      <w:r>
        <w:br/>
      </w:r>
      <w:r w:rsidRPr="058DFE7F" w:rsidR="454FE74D">
        <w:rPr>
          <w:rFonts w:ascii="Arial" w:hAnsi="Arial" w:eastAsia="Arial" w:cs="Arial"/>
          <w:noProof w:val="0"/>
          <w:sz w:val="22"/>
          <w:szCs w:val="22"/>
          <w:lang w:val="tr-TR"/>
        </w:rPr>
        <w:t xml:space="preserve"> → Elektrik</w:t>
      </w:r>
      <w:r>
        <w:br/>
      </w:r>
      <w:r w:rsidRPr="058DFE7F" w:rsidR="454FE74D">
        <w:rPr>
          <w:rFonts w:ascii="Arial" w:hAnsi="Arial" w:eastAsia="Arial" w:cs="Arial"/>
          <w:noProof w:val="0"/>
          <w:sz w:val="22"/>
          <w:szCs w:val="22"/>
          <w:lang w:val="tr-TR"/>
        </w:rPr>
        <w:t xml:space="preserve"> → Hidrojen</w:t>
      </w:r>
    </w:p>
    <w:p w:rsidR="454FE74D" w:rsidP="058DFE7F" w:rsidRDefault="454FE74D" w14:paraId="57BE29D0" w14:textId="4713758F">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Bu ürünler GTİP/CN kodlarıyla belirlenmiş olup SKDM Tüzüğü’nün eklerinde yer almaktadır.</w:t>
      </w:r>
    </w:p>
    <w:p w:rsidR="454FE74D" w:rsidP="058DFE7F" w:rsidRDefault="454FE74D" w14:paraId="3DCA8D32" w14:textId="00554E7F">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Sistem Nasıl Çalışıyor?</w:t>
      </w:r>
    </w:p>
    <w:p w:rsidR="454FE74D" w:rsidP="058DFE7F" w:rsidRDefault="454FE74D" w14:paraId="6AD243C8" w14:textId="5C9753CA">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SKDM iki aşamalı bir sistemdir.</w:t>
      </w:r>
    </w:p>
    <w:p w:rsidR="454FE74D" w:rsidP="058DFE7F" w:rsidRDefault="454FE74D" w14:paraId="79117295" w14:textId="53DAFD84">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1. Geçiş dönemi (raporlama dönemi):</w:t>
      </w:r>
    </w:p>
    <w:p w:rsidR="454FE74D" w:rsidP="058DFE7F" w:rsidRDefault="454FE74D" w14:paraId="798981A0" w14:textId="035CD1A4">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 Yalnızca bildirim yapılır, henüz ödeme yükümlülüğü yoktur.</w:t>
      </w:r>
      <w:r>
        <w:br/>
      </w:r>
      <w:r w:rsidRPr="058DFE7F" w:rsidR="454FE74D">
        <w:rPr>
          <w:rFonts w:ascii="Arial" w:hAnsi="Arial" w:eastAsia="Arial" w:cs="Arial"/>
          <w:noProof w:val="0"/>
          <w:sz w:val="22"/>
          <w:szCs w:val="22"/>
          <w:lang w:val="tr-TR"/>
        </w:rPr>
        <w:t xml:space="preserve"> → İthalatçılar her çeyrek; ürünün miktarını, menşe ülkesini, üreticisini ve emisyon miktarı gibi bilgileri AB’ye bildirir.</w:t>
      </w:r>
    </w:p>
    <w:p w:rsidR="454FE74D" w:rsidP="058DFE7F" w:rsidRDefault="454FE74D" w14:paraId="2BD424BE" w14:textId="0C1D69AB">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2. Uygulama dönemi:</w:t>
      </w:r>
    </w:p>
    <w:p w:rsidR="454FE74D" w:rsidP="058DFE7F" w:rsidRDefault="454FE74D" w14:paraId="727F0096" w14:textId="0033E503">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 Artık yalnızca raporlama değil, emisyona bağlı mali yükümlülük de söz konusudur.</w:t>
      </w:r>
      <w:r>
        <w:br/>
      </w:r>
      <w:r w:rsidRPr="058DFE7F" w:rsidR="454FE74D">
        <w:rPr>
          <w:rFonts w:ascii="Arial" w:hAnsi="Arial" w:eastAsia="Arial" w:cs="Arial"/>
          <w:noProof w:val="0"/>
          <w:sz w:val="22"/>
          <w:szCs w:val="22"/>
          <w:lang w:val="tr-TR"/>
        </w:rPr>
        <w:t xml:space="preserve"> → Bildirimler yalnızca “yetkilendirilmiş SKDM yükümlüsü” olan kişilerce yapılabilir.</w:t>
      </w:r>
      <w:r>
        <w:br/>
      </w:r>
      <w:r w:rsidRPr="058DFE7F" w:rsidR="454FE74D">
        <w:rPr>
          <w:rFonts w:ascii="Arial" w:hAnsi="Arial" w:eastAsia="Arial" w:cs="Arial"/>
          <w:noProof w:val="0"/>
          <w:sz w:val="22"/>
          <w:szCs w:val="22"/>
          <w:lang w:val="tr-TR"/>
        </w:rPr>
        <w:t xml:space="preserve"> → Bu kişilerin AB’de yerleşik olması zorunludur.</w:t>
      </w:r>
    </w:p>
    <w:p w:rsidR="454FE74D" w:rsidP="058DFE7F" w:rsidRDefault="454FE74D" w14:paraId="5DEF5A09" w14:textId="55DC7D9E">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AB dışından ithalat yapan firmalar için AB’de yerleşik bir temsilci gerekir.</w:t>
      </w:r>
    </w:p>
    <w:p w:rsidR="454FE74D" w:rsidP="058DFE7F" w:rsidRDefault="454FE74D" w14:paraId="756649B9" w14:textId="04472FC7">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Emisyon Verileri Nasıl Elde Edilir?</w:t>
      </w:r>
    </w:p>
    <w:p w:rsidR="454FE74D" w:rsidP="058DFE7F" w:rsidRDefault="454FE74D" w14:paraId="55D0A225" w14:textId="75B4AE19">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 İthalatçı, ürünün karbon içeriğine ilişkin verileri üretici firmadan almak zorundadır.</w:t>
      </w:r>
      <w:r>
        <w:br/>
      </w:r>
      <w:r w:rsidRPr="058DFE7F" w:rsidR="454FE74D">
        <w:rPr>
          <w:rFonts w:ascii="Arial" w:hAnsi="Arial" w:eastAsia="Arial" w:cs="Arial"/>
          <w:noProof w:val="0"/>
          <w:sz w:val="22"/>
          <w:szCs w:val="22"/>
          <w:lang w:val="tr-TR"/>
        </w:rPr>
        <w:t xml:space="preserve"> → Ürün karmaşıksa, üretimde kullanılan tüm ara girdilerin emisyonları da hesaplanır.</w:t>
      </w:r>
      <w:r>
        <w:br/>
      </w:r>
      <w:r w:rsidRPr="058DFE7F" w:rsidR="454FE74D">
        <w:rPr>
          <w:rFonts w:ascii="Arial" w:hAnsi="Arial" w:eastAsia="Arial" w:cs="Arial"/>
          <w:noProof w:val="0"/>
          <w:sz w:val="22"/>
          <w:szCs w:val="22"/>
          <w:lang w:val="tr-TR"/>
        </w:rPr>
        <w:t xml:space="preserve"> → Üretici firmalar, tedarik zinciri boyunca emisyon verisi toplayabilecek yapıda olmalıdır.</w:t>
      </w:r>
      <w:r>
        <w:br/>
      </w:r>
      <w:r w:rsidRPr="058DFE7F" w:rsidR="454FE74D">
        <w:rPr>
          <w:rFonts w:ascii="Arial" w:hAnsi="Arial" w:eastAsia="Arial" w:cs="Arial"/>
          <w:noProof w:val="0"/>
          <w:sz w:val="22"/>
          <w:szCs w:val="22"/>
          <w:lang w:val="tr-TR"/>
        </w:rPr>
        <w:t xml:space="preserve"> → Kapsam dışı girdilerde yalnızca üretim esnasında oluşan proses emisyonları dikkate alınır.</w:t>
      </w:r>
    </w:p>
    <w:p w:rsidR="454FE74D" w:rsidP="058DFE7F" w:rsidRDefault="454FE74D" w14:paraId="0FDDDA78" w14:textId="39C13D6A">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SKDM kapsamında yer alan işletmeler, üretim süreçlerinden kaynaklanan emisyonlarını düzenli şekilde izlemeli, kayıt altına almalı ve sürece uyum konusunda gerekli adımları dikkatle atmalıdır.</w:t>
      </w:r>
    </w:p>
    <w:p w:rsidR="058DFE7F" w:rsidP="058DFE7F" w:rsidRDefault="058DFE7F" w14:paraId="4266D433" w14:textId="6031C04F">
      <w:pPr>
        <w:jc w:val="both"/>
        <w:rPr>
          <w:rFonts w:ascii="Arial" w:hAnsi="Arial" w:eastAsia="Arial" w:cs="Arial"/>
          <w:sz w:val="22"/>
          <w:szCs w:val="22"/>
        </w:rPr>
      </w:pPr>
    </w:p>
    <w:p w:rsidR="454FE74D" w:rsidP="058DFE7F" w:rsidRDefault="454FE74D" w14:paraId="6ACF70FA" w14:textId="0B855558">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ARALIK 2025</w:t>
      </w:r>
    </w:p>
    <w:p w:rsidR="454FE74D" w:rsidP="058DFE7F" w:rsidRDefault="454FE74D" w14:paraId="28CA0E23" w14:textId="118EDDAF">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SÜRDÜRÜLEBİLİRLİK HUKUKU SERİSİ #5 – SINIRDA KARBON DÜZENLEME MEKANİZMASININ (CBAM) KAPSAMI NEDİR?</w:t>
      </w:r>
    </w:p>
    <w:p w:rsidR="454FE74D" w:rsidP="058DFE7F" w:rsidRDefault="454FE74D" w14:paraId="048F1381" w14:textId="5D7C36F2">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CBAM Neyi Amaçlamaktadır?</w:t>
      </w:r>
    </w:p>
    <w:p w:rsidR="454FE74D" w:rsidP="058DFE7F" w:rsidRDefault="454FE74D" w14:paraId="2DFC20A6" w14:textId="419FE495">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Sınırda Karbon Düzenleme Mekanizması (“CBAM”), Avrupa Birliği’ne ithal edilen karbon yoğun ürünlerin üretim sürecinde oluşan emisyonlara adil bir maliyet yüklemeyi hedeflemektedir.</w:t>
      </w:r>
    </w:p>
    <w:p w:rsidR="454FE74D" w:rsidP="058DFE7F" w:rsidRDefault="454FE74D" w14:paraId="1D02233F" w14:textId="3437E805">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Bu mekanizma, AB dışındaki ülkelerde daha düşük karbon ayak izine sahip endüstriyel üretimin teşvik edilmesine katkı sağlamaktadır.</w:t>
      </w:r>
    </w:p>
    <w:p w:rsidR="454FE74D" w:rsidP="058DFE7F" w:rsidRDefault="454FE74D" w14:paraId="7985B73C" w14:textId="31FC473D">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CBAM, aynı zamanda AB Emisyon Ticareti Sistemi ile uyumlu biçimde sınırda karbon fiyatlandırması getirerek karbon sızıntısını engellemeyi amaçlamaktadır.</w:t>
      </w:r>
    </w:p>
    <w:p w:rsidR="454FE74D" w:rsidP="058DFE7F" w:rsidRDefault="454FE74D" w14:paraId="7D7A4283" w14:textId="40AE727C">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Bu yönüyle hem çevresel hem de ticari düzenlemeleri etkileyen kapsamlı bir mekanizma niteliği taşımaktadır.</w:t>
      </w:r>
    </w:p>
    <w:p w:rsidR="454FE74D" w:rsidP="058DFE7F" w:rsidRDefault="454FE74D" w14:paraId="1AAFFA0E" w14:textId="4957B480">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Uygulama Takvimi</w:t>
      </w:r>
    </w:p>
    <w:p w:rsidR="454FE74D" w:rsidP="058DFE7F" w:rsidRDefault="454FE74D" w14:paraId="5E2AF20C" w14:textId="2CF7F81A">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CBAM, 2023–2025 yılları arasında geçiş dönemi kapsamında uygulanmakta ve bu süreçte raporlama yükümlülükleri esas alınmaktadır.</w:t>
      </w:r>
    </w:p>
    <w:p w:rsidR="454FE74D" w:rsidP="058DFE7F" w:rsidRDefault="454FE74D" w14:paraId="0025F0DA" w14:textId="48A54677">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2026 yılından itibaren ise mekanizma kesin rejimiyle yürürlüğe girmekte ve mali yükümlülüklerin devreye alınması öngörülmektedir.</w:t>
      </w:r>
    </w:p>
    <w:p w:rsidR="454FE74D" w:rsidP="058DFE7F" w:rsidRDefault="454FE74D" w14:paraId="29374127" w14:textId="62AFFAED">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Bu kademeli geçiş, AB ETS kapsamında ücretsiz tahsisatların aşamalı şekilde kaldırılmasıyla uyumlu biçimde yapılandırılmaktadır.</w:t>
      </w:r>
    </w:p>
    <w:p w:rsidR="454FE74D" w:rsidP="058DFE7F" w:rsidRDefault="454FE74D" w14:paraId="7DAEB757" w14:textId="6D905C49">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Böylelikle AB’nin karbonsuzlaşma hedefleri doğrultusunda sınırda karbon fiyatlandırması bütüncül bir düzenleme hâline getirilmektedir.</w:t>
      </w:r>
    </w:p>
    <w:p w:rsidR="454FE74D" w:rsidP="058DFE7F" w:rsidRDefault="454FE74D" w14:paraId="43B42BAD" w14:textId="534818AA">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CBAM Kapsamındaki Sektörler</w:t>
      </w:r>
    </w:p>
    <w:p w:rsidR="454FE74D" w:rsidP="058DFE7F" w:rsidRDefault="454FE74D" w14:paraId="7B3FE3B9" w14:textId="6557C9D7">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CBAM, karbon yoğun sektörlere odaklanarak belirli ürün gruplarında karbon fiyatlandırmasını zorunlu kılmaktadır.</w:t>
      </w:r>
    </w:p>
    <w:p w:rsidR="454FE74D" w:rsidP="058DFE7F" w:rsidRDefault="454FE74D" w14:paraId="6FE7F253" w14:textId="3DD84668">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Kapsam dâhilindeki altı temel sektör aşağıdaki şekilde belirlenmektedir:</w:t>
      </w:r>
    </w:p>
    <w:p w:rsidR="454FE74D" w:rsidP="058DFE7F" w:rsidRDefault="454FE74D" w14:paraId="25960140" w14:textId="5FA87057">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 Çimento</w:t>
      </w:r>
      <w:r>
        <w:br/>
      </w:r>
      <w:r w:rsidRPr="058DFE7F" w:rsidR="454FE74D">
        <w:rPr>
          <w:rFonts w:ascii="Arial" w:hAnsi="Arial" w:eastAsia="Arial" w:cs="Arial"/>
          <w:noProof w:val="0"/>
          <w:sz w:val="22"/>
          <w:szCs w:val="22"/>
          <w:lang w:val="tr-TR"/>
        </w:rPr>
        <w:t xml:space="preserve"> • Alüminyum</w:t>
      </w:r>
      <w:r>
        <w:br/>
      </w:r>
      <w:r w:rsidRPr="058DFE7F" w:rsidR="454FE74D">
        <w:rPr>
          <w:rFonts w:ascii="Arial" w:hAnsi="Arial" w:eastAsia="Arial" w:cs="Arial"/>
          <w:noProof w:val="0"/>
          <w:sz w:val="22"/>
          <w:szCs w:val="22"/>
          <w:lang w:val="tr-TR"/>
        </w:rPr>
        <w:t xml:space="preserve"> • Gübre</w:t>
      </w:r>
      <w:r>
        <w:br/>
      </w:r>
      <w:r w:rsidRPr="058DFE7F" w:rsidR="454FE74D">
        <w:rPr>
          <w:rFonts w:ascii="Arial" w:hAnsi="Arial" w:eastAsia="Arial" w:cs="Arial"/>
          <w:noProof w:val="0"/>
          <w:sz w:val="22"/>
          <w:szCs w:val="22"/>
          <w:lang w:val="tr-TR"/>
        </w:rPr>
        <w:t xml:space="preserve"> • Demir-çelik</w:t>
      </w:r>
      <w:r>
        <w:br/>
      </w:r>
      <w:r w:rsidRPr="058DFE7F" w:rsidR="454FE74D">
        <w:rPr>
          <w:rFonts w:ascii="Arial" w:hAnsi="Arial" w:eastAsia="Arial" w:cs="Arial"/>
          <w:noProof w:val="0"/>
          <w:sz w:val="22"/>
          <w:szCs w:val="22"/>
          <w:lang w:val="tr-TR"/>
        </w:rPr>
        <w:t xml:space="preserve"> • Hidrojen</w:t>
      </w:r>
      <w:r>
        <w:br/>
      </w:r>
      <w:r w:rsidRPr="058DFE7F" w:rsidR="454FE74D">
        <w:rPr>
          <w:rFonts w:ascii="Arial" w:hAnsi="Arial" w:eastAsia="Arial" w:cs="Arial"/>
          <w:noProof w:val="0"/>
          <w:sz w:val="22"/>
          <w:szCs w:val="22"/>
          <w:lang w:val="tr-TR"/>
        </w:rPr>
        <w:t xml:space="preserve"> • Elektrik</w:t>
      </w:r>
    </w:p>
    <w:p w:rsidR="454FE74D" w:rsidP="058DFE7F" w:rsidRDefault="454FE74D" w14:paraId="7058F15F" w14:textId="11725BFC">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Bu sektörlerin seçilmesinin temel nedeni, yüksek emisyon yoğunluğu ve karbon sızıntısı riskinin belirgin seviyede bulunmasıdır.</w:t>
      </w:r>
    </w:p>
    <w:p w:rsidR="454FE74D" w:rsidP="058DFE7F" w:rsidRDefault="454FE74D" w14:paraId="363FC7AF" w14:textId="34E36E68">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Yeni Muafiyet Eşiği</w:t>
      </w:r>
    </w:p>
    <w:p w:rsidR="454FE74D" w:rsidP="058DFE7F" w:rsidRDefault="454FE74D" w14:paraId="3D76AEF6" w14:textId="5A2BECC7">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CBAM’da yapılan değişikliklerle birlikte, yıllık 50 tondan az CBAM kapsamındaki mal ithal eden işletmeler için muafiyet getirilmektedir.</w:t>
      </w:r>
    </w:p>
    <w:p w:rsidR="454FE74D" w:rsidP="058DFE7F" w:rsidRDefault="454FE74D" w14:paraId="017B31B6" w14:textId="381F9E71">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Bu eşik, özellikle küçük ölçekli ithalatçıların üzerindeki idari ve mali yükleri azaltmayı hedeflemektedir.</w:t>
      </w:r>
    </w:p>
    <w:p w:rsidR="454FE74D" w:rsidP="058DFE7F" w:rsidRDefault="454FE74D" w14:paraId="61938DD9" w14:textId="15C49B48">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Bu düzenleme ile yaklaşık 182.000 ithalatçının muaf tutulacağı ve mekanizmanın toplam emisyon kapsamının %99’undan fazlasının korunacağı öngörülmektedir.</w:t>
      </w:r>
    </w:p>
    <w:p w:rsidR="454FE74D" w:rsidP="058DFE7F" w:rsidRDefault="454FE74D" w14:paraId="060F4E63" w14:textId="6376D265">
      <w:pPr>
        <w:spacing w:before="240" w:beforeAutospacing="off" w:after="240" w:afterAutospacing="off"/>
        <w:jc w:val="both"/>
        <w:rPr>
          <w:rFonts w:ascii="Arial" w:hAnsi="Arial" w:eastAsia="Arial" w:cs="Arial"/>
          <w:b w:val="1"/>
          <w:bCs w:val="1"/>
          <w:noProof w:val="0"/>
          <w:sz w:val="22"/>
          <w:szCs w:val="22"/>
          <w:lang w:val="tr-TR"/>
        </w:rPr>
      </w:pPr>
      <w:r w:rsidRPr="058DFE7F" w:rsidR="454FE74D">
        <w:rPr>
          <w:rFonts w:ascii="Arial" w:hAnsi="Arial" w:eastAsia="Arial" w:cs="Arial"/>
          <w:b w:val="1"/>
          <w:bCs w:val="1"/>
          <w:noProof w:val="0"/>
          <w:sz w:val="22"/>
          <w:szCs w:val="22"/>
          <w:lang w:val="tr-TR"/>
        </w:rPr>
        <w:t>CBAM’ın Hukuki Önemi</w:t>
      </w:r>
    </w:p>
    <w:p w:rsidR="454FE74D" w:rsidP="058DFE7F" w:rsidRDefault="454FE74D" w14:paraId="0E8F3BA3" w14:textId="0FEB598E">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CBAM, AB’nin sınırda karbon fiyatlandırması yaklaşımını hukuki zemine oturtan kapsamlı ve çok katmanlı bir düzenleme niteliği taşımaktadır.</w:t>
      </w:r>
    </w:p>
    <w:p w:rsidR="454FE74D" w:rsidP="058DFE7F" w:rsidRDefault="454FE74D" w14:paraId="2E077F37" w14:textId="1EABFA66">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Mekanizmanın sektörel kapsamı, muafiyet eşiği ve raporlama standartları dikkate alındığında işletmelerin uyum süreçlerini dikkatle yürütmesi gerekmektedir.</w:t>
      </w:r>
    </w:p>
    <w:p w:rsidR="454FE74D" w:rsidP="058DFE7F" w:rsidRDefault="454FE74D" w14:paraId="150C9278" w14:textId="5E187103">
      <w:pPr>
        <w:spacing w:before="240" w:beforeAutospacing="off" w:after="240" w:afterAutospacing="off"/>
        <w:jc w:val="both"/>
        <w:rPr>
          <w:rFonts w:ascii="Arial" w:hAnsi="Arial" w:eastAsia="Arial" w:cs="Arial"/>
          <w:noProof w:val="0"/>
          <w:sz w:val="22"/>
          <w:szCs w:val="22"/>
          <w:lang w:val="tr-TR"/>
        </w:rPr>
      </w:pPr>
      <w:r w:rsidRPr="058DFE7F" w:rsidR="454FE74D">
        <w:rPr>
          <w:rFonts w:ascii="Arial" w:hAnsi="Arial" w:eastAsia="Arial" w:cs="Arial"/>
          <w:noProof w:val="0"/>
          <w:sz w:val="22"/>
          <w:szCs w:val="22"/>
          <w:lang w:val="tr-TR"/>
        </w:rPr>
        <w:t>CBAM’ın doğru yorumlanması, hem ticari faaliyetlerin kesintiye uğramaması hem de karbon regülasyonlarına uyum açısından stratejik önem taşımaktadır.</w:t>
      </w:r>
    </w:p>
    <w:p w:rsidR="058DFE7F" w:rsidP="058DFE7F" w:rsidRDefault="058DFE7F" w14:paraId="439D085B" w14:textId="741AA69E">
      <w:pPr>
        <w:pStyle w:val="paragraph"/>
        <w:spacing w:before="0" w:beforeAutospacing="off" w:after="0" w:afterAutospacing="off" w:line="276" w:lineRule="auto"/>
        <w:jc w:val="both"/>
        <w:rPr>
          <w:rStyle w:val="eop"/>
          <w:rFonts w:ascii="Arial" w:hAnsi="Arial" w:eastAsia="Arial" w:cs="Arial"/>
          <w:sz w:val="22"/>
          <w:szCs w:val="22"/>
        </w:rPr>
      </w:pPr>
    </w:p>
    <w:p w:rsidRPr="00F43810" w:rsidR="00844EDB" w:rsidP="058DFE7F" w:rsidRDefault="00844EDB" w14:paraId="2434C96E" w14:textId="77777777">
      <w:pPr>
        <w:spacing w:line="276" w:lineRule="auto"/>
        <w:jc w:val="both"/>
        <w:rPr>
          <w:rFonts w:ascii="Arial" w:hAnsi="Arial" w:eastAsia="Arial" w:cs="Arial"/>
          <w:sz w:val="22"/>
          <w:szCs w:val="22"/>
          <w:lang w:val="tr-TR"/>
        </w:rPr>
      </w:pPr>
      <w:r w:rsidRPr="058DFE7F">
        <w:rPr>
          <w:rFonts w:ascii="Arial" w:hAnsi="Arial" w:eastAsia="Arial" w:cs="Arial"/>
          <w:sz w:val="22"/>
          <w:szCs w:val="22"/>
          <w:lang w:val="tr-TR"/>
        </w:rPr>
        <w:br w:type="page"/>
      </w:r>
    </w:p>
    <w:p w:rsidRPr="00F43810" w:rsidR="00093897" w:rsidP="058DFE7F" w:rsidRDefault="00093897" w14:paraId="1FF886B2" w14:textId="29EC229C">
      <w:pPr>
        <w:spacing w:line="276" w:lineRule="auto"/>
        <w:jc w:val="both"/>
        <w:rPr>
          <w:rFonts w:ascii="Arial" w:hAnsi="Arial" w:eastAsia="Arial" w:cs="Arial"/>
          <w:sz w:val="22"/>
          <w:szCs w:val="22"/>
          <w:lang w:val="tr-TR"/>
        </w:rPr>
      </w:pPr>
      <w:r w:rsidRPr="058DFE7F" w:rsidR="00093897">
        <w:rPr>
          <w:rFonts w:ascii="Arial" w:hAnsi="Arial" w:eastAsia="Arial" w:cs="Arial"/>
          <w:sz w:val="22"/>
          <w:szCs w:val="22"/>
          <w:lang w:val="tr-TR"/>
        </w:rPr>
        <w:t>ARALIK 2025</w:t>
      </w:r>
    </w:p>
    <w:p w:rsidRPr="00F43810" w:rsidR="00844EDB" w:rsidP="058DFE7F" w:rsidRDefault="00844EDB" w14:paraId="24575CF7" w14:textId="599ABAAE">
      <w:pPr>
        <w:numPr>
          <w:ilvl w:val="0"/>
          <w:numId w:val="9"/>
        </w:numPr>
        <w:spacing w:line="276" w:lineRule="auto"/>
        <w:jc w:val="both"/>
        <w:rPr>
          <w:rFonts w:ascii="Arial" w:hAnsi="Arial" w:eastAsia="Arial" w:cs="Arial"/>
          <w:sz w:val="22"/>
          <w:szCs w:val="22"/>
          <w:lang w:val="tr-TR"/>
        </w:rPr>
      </w:pPr>
      <w:r w:rsidRPr="058DFE7F" w:rsidR="00844EDB">
        <w:rPr>
          <w:rFonts w:ascii="Arial" w:hAnsi="Arial" w:eastAsia="Arial" w:cs="Arial"/>
          <w:sz w:val="22"/>
          <w:szCs w:val="22"/>
          <w:lang w:val="tr-TR"/>
        </w:rPr>
        <w:t>SÜRDÜRÜLEBİLİRLİK HUKUKU SERİSİ #7 CBAM HANGİ TARİHLERDE YÜRÜRLÜĞE GİRMEKTEDİR?  </w:t>
      </w:r>
    </w:p>
    <w:p w:rsidRPr="00F43810" w:rsidR="00093897" w:rsidP="058DFE7F" w:rsidRDefault="00093897" w14:paraId="5943DA25" w14:textId="77777777">
      <w:pPr>
        <w:pStyle w:val="paragraph"/>
        <w:spacing w:before="0" w:beforeAutospacing="off" w:after="0" w:afterAutospacing="off" w:line="276" w:lineRule="auto"/>
        <w:jc w:val="both"/>
        <w:textAlignment w:val="baseline"/>
        <w:rPr>
          <w:rStyle w:val="eop"/>
          <w:rFonts w:ascii="Arial" w:hAnsi="Arial" w:eastAsia="Arial" w:cs="Arial"/>
          <w:sz w:val="22"/>
          <w:szCs w:val="22"/>
        </w:rPr>
      </w:pPr>
      <w:r w:rsidRPr="058DFE7F" w:rsidR="00093897">
        <w:rPr>
          <w:rStyle w:val="normaltextrun"/>
          <w:rFonts w:ascii="Arial" w:hAnsi="Arial" w:eastAsia="Arial" w:cs="Arial"/>
          <w:sz w:val="22"/>
          <w:szCs w:val="22"/>
        </w:rPr>
        <w:t>Sınırda Karbon Düzenleme Mekanizması (“CBAM”), Avrupa Birliği’nin iklim politikalarının ticaret hukuku ile kesiştiği en somut düzenleme alanlarından birini oluşturmaktadır. CBAM, Avrupa Birliği’ne ithal edilen karbon yoğun malların üretim süreçlerinde ortaya çıkan emisyonlara yönelik bir fiyatlandırma sisteminin tesis edilmesini amaçlamaktadır. Bu yönüyle CBAM, iklim politikalarının sınır aşan etkisini hukuki bir çerçeveye oturtmakta ve karbon maliyetinin üretim yeri fark etmeksizin dikkate alınmasını hedeflemektedir.</w:t>
      </w:r>
      <w:r w:rsidRPr="058DFE7F" w:rsidR="00093897">
        <w:rPr>
          <w:rStyle w:val="eop"/>
          <w:rFonts w:ascii="Arial" w:hAnsi="Arial" w:eastAsia="Arial" w:cs="Arial"/>
          <w:sz w:val="22"/>
          <w:szCs w:val="22"/>
        </w:rPr>
        <w:t> </w:t>
      </w:r>
    </w:p>
    <w:p w:rsidRPr="00F43810" w:rsidR="00093897" w:rsidP="058DFE7F" w:rsidRDefault="00093897" w14:paraId="1B14A60B" w14:textId="77777777">
      <w:pPr>
        <w:pStyle w:val="paragraph"/>
        <w:spacing w:before="0" w:beforeAutospacing="off" w:after="0" w:afterAutospacing="off" w:line="276" w:lineRule="auto"/>
        <w:jc w:val="both"/>
        <w:textAlignment w:val="baseline"/>
        <w:rPr>
          <w:rStyle w:val="eop"/>
          <w:rFonts w:ascii="Arial" w:hAnsi="Arial" w:eastAsia="Arial" w:cs="Arial"/>
          <w:sz w:val="22"/>
          <w:szCs w:val="22"/>
        </w:rPr>
      </w:pPr>
      <w:r w:rsidRPr="058DFE7F" w:rsidR="00093897">
        <w:rPr>
          <w:rStyle w:val="normaltextrun"/>
          <w:rFonts w:ascii="Arial" w:hAnsi="Arial" w:eastAsia="Arial" w:cs="Arial"/>
          <w:sz w:val="22"/>
          <w:szCs w:val="22"/>
        </w:rPr>
        <w:t>CBAM, ani bir yükümlülük rejimi şeklinde değil, kademeli bir geçiş süreci öngörülerek tasarlanmıştır. Bu çerçevede mekanizma, 1 Ekim 2023 tarihi itibarıyla geçiş dönemine girmiştir. 2023–2025 yıllarını kapsayan bu aşama, ithalatçılar bakımından esas olarak raporlama yükümlülüklerinin öne çıktığı bir dönem niteliği taşımaktadır. Bu süreçte AB’ye ithal edilen belirli karbon yoğun malların üretiminde ortaya çıkan gömülü emisyonların izlenmesi, hesaplanması ve raporlanması gerekmektedir. Geçiş döneminde herhangi bir sertifika teslimi veya doğrudan mali yükümlülük söz konusu olmamakla birlikte, yükümlülüklerin ihlali idari yaptırımlara konu olabilmektedir. Bu nedenle geçiş dönemi, uygulamada bir “hazırlık aşaması” olmanın ötesinde, hukuki sorumluluk doğuran bir düzenleme alanı oluşturmaktadır.</w:t>
      </w:r>
      <w:r w:rsidRPr="058DFE7F" w:rsidR="00093897">
        <w:rPr>
          <w:rStyle w:val="eop"/>
          <w:rFonts w:ascii="Arial" w:hAnsi="Arial" w:eastAsia="Arial" w:cs="Arial"/>
          <w:sz w:val="22"/>
          <w:szCs w:val="22"/>
        </w:rPr>
        <w:t> </w:t>
      </w:r>
    </w:p>
    <w:p w:rsidRPr="00F43810" w:rsidR="00093897" w:rsidP="058DFE7F" w:rsidRDefault="00093897" w14:paraId="0232BD5B" w14:textId="77777777">
      <w:pPr>
        <w:pStyle w:val="paragraph"/>
        <w:spacing w:before="0" w:beforeAutospacing="off" w:after="0" w:afterAutospacing="off" w:line="276" w:lineRule="auto"/>
        <w:jc w:val="both"/>
        <w:textAlignment w:val="baseline"/>
        <w:rPr>
          <w:rStyle w:val="eop"/>
          <w:rFonts w:ascii="Arial" w:hAnsi="Arial" w:eastAsia="Arial" w:cs="Arial"/>
          <w:sz w:val="22"/>
          <w:szCs w:val="22"/>
        </w:rPr>
      </w:pPr>
      <w:r w:rsidRPr="058DFE7F" w:rsidR="00093897">
        <w:rPr>
          <w:rStyle w:val="normaltextrun"/>
          <w:rFonts w:ascii="Arial" w:hAnsi="Arial" w:eastAsia="Arial" w:cs="Arial"/>
          <w:sz w:val="22"/>
          <w:szCs w:val="22"/>
        </w:rPr>
        <w:t>Geçiş döneminin kapsamı, karbon kaçağı riski en yüksek sektörler dikkate alınarak belirlenmiştir. Çimento, demir ve çelik, alüminyum, gübre, elektrik ve hidrojen ithalatı bu kapsamda CBAM’a tabi tutulmaktadır. Bu sektörlerin seçilmesiyle birlikte, CBAM’ın tam olarak devreye girmesi hâlinde AB Emisyon Ticaret Sistemi kapsamındaki sektörlerde ortaya çıkan emisyonların önemli bir bölümünün kapsama alınması hedeflenmektedir. Geçiş döneminin temel amacı, ithalatçılar, üreticiler ve yetkili makamlar bakımından metodolojinin test edilmesi, veri kalitesinin artırılması ve kesin rejim öncesinde uygulamaya ilişkin yapısal eksikliklerin giderilmesidir.</w:t>
      </w:r>
      <w:r w:rsidRPr="058DFE7F" w:rsidR="00093897">
        <w:rPr>
          <w:rStyle w:val="eop"/>
          <w:rFonts w:ascii="Arial" w:hAnsi="Arial" w:eastAsia="Arial" w:cs="Arial"/>
          <w:sz w:val="22"/>
          <w:szCs w:val="22"/>
        </w:rPr>
        <w:t> </w:t>
      </w:r>
    </w:p>
    <w:p w:rsidRPr="00F43810" w:rsidR="00093897" w:rsidP="058DFE7F" w:rsidRDefault="00093897" w14:paraId="6F96F8DD" w14:textId="77777777">
      <w:pPr>
        <w:pStyle w:val="paragraph"/>
        <w:spacing w:before="0" w:beforeAutospacing="off" w:after="0" w:afterAutospacing="off" w:line="276" w:lineRule="auto"/>
        <w:jc w:val="both"/>
        <w:textAlignment w:val="baseline"/>
        <w:rPr>
          <w:rStyle w:val="eop"/>
          <w:rFonts w:ascii="Arial" w:hAnsi="Arial" w:eastAsia="Arial" w:cs="Arial"/>
          <w:sz w:val="22"/>
          <w:szCs w:val="22"/>
        </w:rPr>
      </w:pPr>
      <w:r w:rsidRPr="058DFE7F" w:rsidR="00093897">
        <w:rPr>
          <w:rStyle w:val="normaltextrun"/>
          <w:rFonts w:ascii="Arial" w:hAnsi="Arial" w:eastAsia="Arial" w:cs="Arial"/>
          <w:sz w:val="22"/>
          <w:szCs w:val="22"/>
        </w:rPr>
        <w:t>CBAM’ın kesin rejimi ise 1 Ocak 2026 tarihi itibarıyla yürürlüğe girmektedir. Bu aşamayla birlikte mekanizma, raporlama esaslı bir yapıdan mali yükümlülük doğuran bir rejime dönüşmektedir. Bu tarihten itibaren, belirlenen eşiklerin üzerinde CBAM kapsamındaki malları ithal eden AB ithalatçıları veya dolaylı gümrük temsilcileri, yetkili CBAM beyannamecisi statüsüne sahip olmak zorunda kalmaktadır. Yetkilendirme süreci, ithalatçıların CBAM kapsamındaki yükümlülüklerini yerine getirebilmeleri için ön koşul niteliği taşımaktadır.</w:t>
      </w:r>
      <w:r w:rsidRPr="058DFE7F" w:rsidR="00093897">
        <w:rPr>
          <w:rStyle w:val="eop"/>
          <w:rFonts w:ascii="Arial" w:hAnsi="Arial" w:eastAsia="Arial" w:cs="Arial"/>
          <w:sz w:val="22"/>
          <w:szCs w:val="22"/>
        </w:rPr>
        <w:t> </w:t>
      </w:r>
    </w:p>
    <w:p w:rsidRPr="00F43810" w:rsidR="00093897" w:rsidP="058DFE7F" w:rsidRDefault="00093897" w14:paraId="0DD627F5" w14:textId="77777777">
      <w:pPr>
        <w:pStyle w:val="paragraph"/>
        <w:spacing w:before="0" w:beforeAutospacing="off" w:after="0" w:afterAutospacing="off" w:line="276" w:lineRule="auto"/>
        <w:jc w:val="both"/>
        <w:textAlignment w:val="baseline"/>
        <w:rPr>
          <w:rStyle w:val="eop"/>
          <w:rFonts w:ascii="Arial" w:hAnsi="Arial" w:eastAsia="Arial" w:cs="Arial"/>
          <w:sz w:val="22"/>
          <w:szCs w:val="22"/>
        </w:rPr>
      </w:pPr>
      <w:r w:rsidRPr="058DFE7F" w:rsidR="00093897">
        <w:rPr>
          <w:rStyle w:val="normaltextrun"/>
          <w:rFonts w:ascii="Arial" w:hAnsi="Arial" w:eastAsia="Arial" w:cs="Arial"/>
          <w:sz w:val="22"/>
          <w:szCs w:val="22"/>
        </w:rPr>
        <w:t>Kesin rejimde ithalatçılar, ithal edilen malların üretiminde ortaya çıkan gömülü emisyonları yetkili beyan sahipleri aracılığıyla beyan etmekle ve bu emisyonlara karşılık gelen sayıda CBAM sertifikasını her yıl teslim etmekle yükümlüdür. Sertifikaların fiyatı, AB Emisyon Ticaret Sistemi kapsamında izinlerin açık artırma fiyatları esas alınarak hesaplanmaktadır. 2026 yılı için bu hesaplama üç aylık ortalamalar üzerinden yapılmakta, sonraki yıllarda ise haftalık ortalama fiyatlar dikkate alınmaktadır. Üretimin gerçekleştirildiği ülkede karbon bedelinin ödendiğinin belgelenmesi hâlinde, iki kez karbon fiyatı ödenmemesi adına bu bedelin CBAM yükümlülüğünden düşülmesi mümkün olmaktadır.</w:t>
      </w:r>
      <w:r w:rsidRPr="058DFE7F" w:rsidR="00093897">
        <w:rPr>
          <w:rStyle w:val="eop"/>
          <w:rFonts w:ascii="Arial" w:hAnsi="Arial" w:eastAsia="Arial" w:cs="Arial"/>
          <w:sz w:val="22"/>
          <w:szCs w:val="22"/>
        </w:rPr>
        <w:t> </w:t>
      </w:r>
    </w:p>
    <w:p w:rsidRPr="00F43810" w:rsidR="00093897" w:rsidP="058DFE7F" w:rsidRDefault="00093897" w14:paraId="6BC79B2C" w14:textId="77777777">
      <w:pPr>
        <w:pStyle w:val="paragraph"/>
        <w:spacing w:before="0" w:beforeAutospacing="off" w:after="0" w:afterAutospacing="off" w:line="276" w:lineRule="auto"/>
        <w:jc w:val="both"/>
        <w:textAlignment w:val="baseline"/>
        <w:rPr>
          <w:rStyle w:val="eop"/>
          <w:rFonts w:ascii="Arial" w:hAnsi="Arial" w:eastAsia="Arial" w:cs="Arial"/>
          <w:sz w:val="22"/>
          <w:szCs w:val="22"/>
        </w:rPr>
      </w:pPr>
      <w:r w:rsidRPr="058DFE7F" w:rsidR="00093897">
        <w:rPr>
          <w:rStyle w:val="normaltextrun"/>
          <w:rFonts w:ascii="Arial" w:hAnsi="Arial" w:eastAsia="Arial" w:cs="Arial"/>
          <w:sz w:val="22"/>
          <w:szCs w:val="22"/>
        </w:rPr>
        <w:t>CBAM’ın yürürlüğe giriş takvimi, Avrupa Birliği Emisyon Ticaret Sistemi kapsamında ücretsiz tahsis edilen emisyon izinlerinin aşamalı olarak kaldırılmasıyla uyumlu biçimde kurgulanmıştır. Bu yaklaşım, AB içindeki üreticiler ile AB dışından ithal edilen ürünler arasında karbon maliyeti bakımından eşdeğerliğin sağlanmasını amaçlamaktadır. Böylelikle, karbon kaçağı olarak adlandırılan ve karbon yoğun üretimin daha az sıkı iklim politikalarının uygulandığı ülkelere kaydırılması riskinin azaltılması hedeflenmektedir.</w:t>
      </w:r>
      <w:r w:rsidRPr="058DFE7F" w:rsidR="00093897">
        <w:rPr>
          <w:rStyle w:val="eop"/>
          <w:rFonts w:ascii="Arial" w:hAnsi="Arial" w:eastAsia="Arial" w:cs="Arial"/>
          <w:sz w:val="22"/>
          <w:szCs w:val="22"/>
        </w:rPr>
        <w:t> </w:t>
      </w:r>
    </w:p>
    <w:p w:rsidRPr="00F43810" w:rsidR="00093897" w:rsidP="058DFE7F" w:rsidRDefault="00093897" w14:paraId="6398D786" w14:textId="77777777">
      <w:pPr>
        <w:pStyle w:val="paragraph"/>
        <w:spacing w:before="0" w:beforeAutospacing="off" w:after="0" w:afterAutospacing="off" w:line="276" w:lineRule="auto"/>
        <w:jc w:val="both"/>
        <w:textAlignment w:val="baseline"/>
        <w:rPr>
          <w:rStyle w:val="eop"/>
          <w:rFonts w:ascii="Arial" w:hAnsi="Arial" w:eastAsia="Arial" w:cs="Arial"/>
          <w:sz w:val="22"/>
          <w:szCs w:val="22"/>
        </w:rPr>
      </w:pPr>
      <w:r w:rsidRPr="058DFE7F" w:rsidR="00093897">
        <w:rPr>
          <w:rStyle w:val="normaltextrun"/>
          <w:rFonts w:ascii="Arial" w:hAnsi="Arial" w:eastAsia="Arial" w:cs="Arial"/>
          <w:sz w:val="22"/>
          <w:szCs w:val="22"/>
        </w:rPr>
        <w:t>Mekanizmanın zamanlaması aynı zamanda hukuki ve politik bir denge arayışını yansıtmaktadır. Bir yandan AB’nin iklim hedeflerinin zayıflatılmasının önüne geçilmesi amaçlanırken, diğer yandan uluslararası ticaret hukukuna uyum gözetilmektedir. CBAM’ın Dünya Ticaret Örgütü kurallarıyla uyumlu olacak şekilde tasarlanmış olması, mekanizmanın yalnızca çevresel bir araç değil, aynı zamanda ticaret hukuku açısından da stratejik bir düzenleme olduğunu göstermektedir.</w:t>
      </w:r>
      <w:r w:rsidRPr="058DFE7F" w:rsidR="00093897">
        <w:rPr>
          <w:rStyle w:val="eop"/>
          <w:rFonts w:ascii="Arial" w:hAnsi="Arial" w:eastAsia="Arial" w:cs="Arial"/>
          <w:sz w:val="22"/>
          <w:szCs w:val="22"/>
        </w:rPr>
        <w:t> </w:t>
      </w:r>
    </w:p>
    <w:p w:rsidRPr="00F43810" w:rsidR="00093897" w:rsidP="058DFE7F" w:rsidRDefault="00093897" w14:paraId="79912949" w14:textId="77777777">
      <w:pPr>
        <w:pStyle w:val="paragraph"/>
        <w:spacing w:before="0" w:beforeAutospacing="off" w:after="0" w:afterAutospacing="off" w:line="276" w:lineRule="auto"/>
        <w:jc w:val="both"/>
        <w:textAlignment w:val="baseline"/>
        <w:rPr>
          <w:rStyle w:val="eop"/>
          <w:rFonts w:ascii="Arial" w:hAnsi="Arial" w:eastAsia="Arial" w:cs="Arial"/>
          <w:sz w:val="22"/>
          <w:szCs w:val="22"/>
        </w:rPr>
      </w:pPr>
      <w:r w:rsidRPr="058DFE7F" w:rsidR="00093897">
        <w:rPr>
          <w:rStyle w:val="normaltextrun"/>
          <w:rFonts w:ascii="Arial" w:hAnsi="Arial" w:eastAsia="Arial" w:cs="Arial"/>
          <w:sz w:val="22"/>
          <w:szCs w:val="22"/>
        </w:rPr>
        <w:t>Bu çerçevede CBAM, belirli bir tarihte yürürlüğe giren tekil bir düzenleme olarak değil, 2023’ten itibaren kademeli biçimde gelişen ve 2026 itibarıyla tam anlamıyla uygulanmaya başlayan bir hukuki rejim olarak değerlendirilmelidir. İthalatçıların ve tedarik zincirinde yer alan tüm aktörlerin, bu zaman çizelgesini dikkate alarak hukuki ve operasyonel hazırlıklarını planlamaları gerekmektedir. Bu kapsamda CBAM, iklim politikalarının ticaret hukukuna yansıdığı yeni bir dönemin başlangıcını temsil etmektedir.</w:t>
      </w:r>
      <w:r w:rsidRPr="058DFE7F" w:rsidR="00093897">
        <w:rPr>
          <w:rStyle w:val="eop"/>
          <w:rFonts w:ascii="Arial" w:hAnsi="Arial" w:eastAsia="Arial" w:cs="Arial"/>
          <w:sz w:val="22"/>
          <w:szCs w:val="22"/>
        </w:rPr>
        <w:t> </w:t>
      </w:r>
    </w:p>
    <w:p w:rsidRPr="00F43810" w:rsidR="00844EDB" w:rsidP="058DFE7F" w:rsidRDefault="00844EDB" w14:paraId="29A79A69" w14:textId="77777777">
      <w:pPr>
        <w:spacing w:line="276" w:lineRule="auto"/>
        <w:jc w:val="both"/>
        <w:rPr>
          <w:rFonts w:ascii="Arial" w:hAnsi="Arial" w:eastAsia="Arial" w:cs="Arial"/>
          <w:sz w:val="22"/>
          <w:szCs w:val="22"/>
          <w:lang w:val="tr-TR"/>
        </w:rPr>
      </w:pPr>
      <w:r w:rsidRPr="058DFE7F">
        <w:rPr>
          <w:rFonts w:ascii="Arial" w:hAnsi="Arial" w:eastAsia="Arial" w:cs="Arial"/>
          <w:sz w:val="22"/>
          <w:szCs w:val="22"/>
          <w:lang w:val="tr-TR"/>
        </w:rPr>
        <w:br w:type="page"/>
      </w:r>
    </w:p>
    <w:p w:rsidRPr="00F43810" w:rsidR="00093897" w:rsidP="058DFE7F" w:rsidRDefault="00093897" w14:paraId="740BB638" w14:textId="5EA87A1B">
      <w:pPr>
        <w:spacing w:line="276" w:lineRule="auto"/>
        <w:jc w:val="both"/>
        <w:rPr>
          <w:rFonts w:ascii="Arial" w:hAnsi="Arial" w:eastAsia="Arial" w:cs="Arial"/>
          <w:sz w:val="22"/>
          <w:szCs w:val="22"/>
          <w:lang w:val="tr-TR"/>
        </w:rPr>
      </w:pPr>
      <w:r w:rsidRPr="058DFE7F" w:rsidR="00093897">
        <w:rPr>
          <w:rFonts w:ascii="Arial" w:hAnsi="Arial" w:eastAsia="Arial" w:cs="Arial"/>
          <w:sz w:val="22"/>
          <w:szCs w:val="22"/>
          <w:lang w:val="tr-TR"/>
        </w:rPr>
        <w:t>MART 2026</w:t>
      </w:r>
    </w:p>
    <w:p w:rsidRPr="00F43810" w:rsidR="00844EDB" w:rsidP="058DFE7F" w:rsidRDefault="00844EDB" w14:paraId="4696283A" w14:textId="771ECF82">
      <w:pPr>
        <w:numPr>
          <w:ilvl w:val="0"/>
          <w:numId w:val="10"/>
        </w:numPr>
        <w:spacing w:line="276" w:lineRule="auto"/>
        <w:jc w:val="both"/>
        <w:rPr>
          <w:rFonts w:ascii="Arial" w:hAnsi="Arial" w:eastAsia="Arial" w:cs="Arial"/>
          <w:sz w:val="22"/>
          <w:szCs w:val="22"/>
          <w:lang w:val="tr-TR"/>
        </w:rPr>
      </w:pPr>
      <w:r w:rsidRPr="058DFE7F" w:rsidR="00844EDB">
        <w:rPr>
          <w:rFonts w:ascii="Arial" w:hAnsi="Arial" w:eastAsia="Arial" w:cs="Arial"/>
          <w:sz w:val="22"/>
          <w:szCs w:val="22"/>
          <w:lang w:val="tr-TR"/>
        </w:rPr>
        <w:t>ENERJİ HUKUKU SERİSİ #10 – ENERJİ SEKTÖRÜ – KARBON – CBAM: YENİ DÜZEN NASIL ŞEKİLLENİYOR?  </w:t>
      </w:r>
    </w:p>
    <w:p w:rsidRPr="00F43810" w:rsidR="001145C9" w:rsidP="058DFE7F" w:rsidRDefault="001145C9" w14:paraId="71D40B32" w14:textId="77777777">
      <w:pPr>
        <w:spacing w:line="276" w:lineRule="auto"/>
        <w:jc w:val="both"/>
        <w:rPr>
          <w:rFonts w:ascii="Arial" w:hAnsi="Arial" w:eastAsia="Arial" w:cs="Arial"/>
          <w:sz w:val="22"/>
          <w:szCs w:val="22"/>
        </w:rPr>
      </w:pPr>
      <w:r w:rsidRPr="058DFE7F" w:rsidR="001145C9">
        <w:rPr>
          <w:rFonts w:ascii="Arial" w:hAnsi="Arial" w:eastAsia="Arial" w:cs="Arial"/>
          <w:sz w:val="22"/>
          <w:szCs w:val="22"/>
        </w:rPr>
        <w:t xml:space="preserve">Enerji ve karbon piyasası son birkaç yılda ciddi şekilde değişiyor. Uzun süre çevre politikalarının bir parçası olarak görülen karbon düzenlemeleri artık ticaret ve sanayi politikalarının merkezine yerleşmiş durumda. Özellikle Avrupa Birliği’nin Sınırda Karbon Düzenleme Mekanizması </w:t>
      </w:r>
      <w:r w:rsidRPr="058DFE7F" w:rsidR="001145C9">
        <w:rPr>
          <w:rFonts w:ascii="Arial" w:hAnsi="Arial" w:eastAsia="Arial" w:cs="Arial"/>
          <w:b w:val="1"/>
          <w:bCs w:val="1"/>
          <w:sz w:val="22"/>
          <w:szCs w:val="22"/>
        </w:rPr>
        <w:t>(“CBAM”)</w:t>
      </w:r>
      <w:r w:rsidRPr="058DFE7F" w:rsidR="001145C9">
        <w:rPr>
          <w:rFonts w:ascii="Arial" w:hAnsi="Arial" w:eastAsia="Arial" w:cs="Arial"/>
          <w:sz w:val="22"/>
          <w:szCs w:val="22"/>
        </w:rPr>
        <w:t xml:space="preserve"> ile birlikte enerji yoğun sektörler için ticaret kuralları yeniden yazılıyor. Enerji maliyetleri, karbon fiyatı ve üretim teknolojisi artık aynı ekonomik denklem içinde değerlendiriliyor. Bu nedenle karbon konusu yalnızca çevresel bir tartışma olmaktan çıkıp uluslararası ticaretin önemli başlıklarından biri haline geliyor.</w:t>
      </w:r>
    </w:p>
    <w:p w:rsidRPr="00F43810" w:rsidR="001145C9" w:rsidP="058DFE7F" w:rsidRDefault="001145C9" w14:paraId="6EBE8335" w14:textId="77777777">
      <w:pPr>
        <w:spacing w:line="276" w:lineRule="auto"/>
        <w:jc w:val="both"/>
        <w:rPr>
          <w:rFonts w:ascii="Arial" w:hAnsi="Arial" w:eastAsia="Arial" w:cs="Arial"/>
          <w:sz w:val="22"/>
          <w:szCs w:val="22"/>
        </w:rPr>
      </w:pPr>
      <w:r w:rsidRPr="058DFE7F" w:rsidR="001145C9">
        <w:rPr>
          <w:rFonts w:ascii="Arial" w:hAnsi="Arial" w:eastAsia="Arial" w:cs="Arial"/>
          <w:sz w:val="22"/>
          <w:szCs w:val="22"/>
        </w:rPr>
        <w:t>Aşağıda yeni düzenin nasıl şekillendiğini sade şekilde özetledim.</w:t>
      </w:r>
    </w:p>
    <w:p w:rsidRPr="00F43810" w:rsidR="001145C9" w:rsidP="058DFE7F" w:rsidRDefault="001145C9" w14:paraId="1DBC86CF" w14:textId="77777777">
      <w:pPr>
        <w:spacing w:line="276" w:lineRule="auto"/>
        <w:jc w:val="both"/>
        <w:rPr>
          <w:rFonts w:ascii="Arial" w:hAnsi="Arial" w:eastAsia="Arial" w:cs="Arial"/>
          <w:b w:val="1"/>
          <w:bCs w:val="1"/>
          <w:sz w:val="22"/>
          <w:szCs w:val="22"/>
        </w:rPr>
      </w:pPr>
      <w:r w:rsidRPr="058DFE7F" w:rsidR="001145C9">
        <w:rPr>
          <w:rFonts w:ascii="Arial" w:hAnsi="Arial" w:eastAsia="Arial" w:cs="Arial"/>
          <w:b w:val="1"/>
          <w:bCs w:val="1"/>
          <w:sz w:val="22"/>
          <w:szCs w:val="22"/>
        </w:rPr>
        <w:t>1. Karbon artık sadece çevre konusu değil, ticaret konusu</w:t>
      </w:r>
    </w:p>
    <w:p w:rsidRPr="00F43810" w:rsidR="001145C9" w:rsidP="058DFE7F" w:rsidRDefault="001145C9" w14:paraId="648C8518" w14:textId="77777777">
      <w:pPr>
        <w:spacing w:line="276" w:lineRule="auto"/>
        <w:jc w:val="both"/>
        <w:rPr>
          <w:rFonts w:ascii="Arial" w:hAnsi="Arial" w:eastAsia="Arial" w:cs="Arial"/>
          <w:sz w:val="22"/>
          <w:szCs w:val="22"/>
        </w:rPr>
      </w:pPr>
      <w:r w:rsidRPr="058DFE7F" w:rsidR="001145C9">
        <w:rPr>
          <w:rFonts w:ascii="Arial" w:hAnsi="Arial" w:eastAsia="Arial" w:cs="Arial"/>
          <w:sz w:val="22"/>
          <w:szCs w:val="22"/>
        </w:rPr>
        <w:t>Uzun yıllar boyunca karbon emisyonu daha çok çevre politikalarının bir parçası olarak ele alındı. Emisyon azaltım hedefleri ve iklim anlaşmaları bu alanın ana çerçevesini oluşturdu. Ancak Avrupa Birliği son yıllarda karbon maliyetini doğrudan ticaret sisteminin içine yerleştiren bir yaklaşım benimsedi. Avrupa Birliği içinde üretim yapan şirketler Emisyon Ticaret Sistemi kapsamında karbon fiyatı ödüyor. Buna karşılık Avrupa Birliği dışından gelen ürünler aynı karbon maliyetine tabi değildi. Bu durum zaman içinde karbon kaçağı olarak adlandırılan bir risk yarattı. Başka bir ifadeyle üretim faaliyetleri karbon maliyetinin daha düşük olduğu ülkelere kayabiliyor ve Avrupa içindeki üreticiler rekabet açısından dezavantaj yaşayabiliyordu. CBAM bu soruna müdahale eden bir sistem olarak ortaya çıktı ve ithal edilen ürünlerin üretim sürecinde ortaya çıkan emisyonların da karbon fiyatına tabi tutulmasını öngördü. Böylece karbon maliyeti çevre politikasının ötesine geçerek ticaret kurallarının bir parçası haline geldi.</w:t>
      </w:r>
    </w:p>
    <w:p w:rsidRPr="00F43810" w:rsidR="001145C9" w:rsidP="058DFE7F" w:rsidRDefault="001145C9" w14:paraId="7DDAD802" w14:textId="77777777">
      <w:pPr>
        <w:spacing w:line="276" w:lineRule="auto"/>
        <w:jc w:val="both"/>
        <w:rPr>
          <w:rFonts w:ascii="Arial" w:hAnsi="Arial" w:eastAsia="Arial" w:cs="Arial"/>
          <w:b w:val="1"/>
          <w:bCs w:val="1"/>
          <w:sz w:val="22"/>
          <w:szCs w:val="22"/>
        </w:rPr>
      </w:pPr>
      <w:r w:rsidRPr="058DFE7F" w:rsidR="001145C9">
        <w:rPr>
          <w:rFonts w:ascii="Arial" w:hAnsi="Arial" w:eastAsia="Arial" w:cs="Arial"/>
          <w:b w:val="1"/>
          <w:bCs w:val="1"/>
          <w:sz w:val="22"/>
          <w:szCs w:val="22"/>
        </w:rPr>
        <w:t>2. CBAM 2026’da gerçek maliyet aşamasına geçiyor</w:t>
      </w:r>
    </w:p>
    <w:p w:rsidRPr="00F43810" w:rsidR="001145C9" w:rsidP="058DFE7F" w:rsidRDefault="001145C9" w14:paraId="4F9DD351" w14:textId="77777777">
      <w:pPr>
        <w:spacing w:line="276" w:lineRule="auto"/>
        <w:jc w:val="both"/>
        <w:rPr>
          <w:rFonts w:ascii="Arial" w:hAnsi="Arial" w:eastAsia="Arial" w:cs="Arial"/>
          <w:sz w:val="22"/>
          <w:szCs w:val="22"/>
        </w:rPr>
      </w:pPr>
      <w:r w:rsidRPr="058DFE7F" w:rsidR="001145C9">
        <w:rPr>
          <w:rFonts w:ascii="Arial" w:hAnsi="Arial" w:eastAsia="Arial" w:cs="Arial"/>
          <w:sz w:val="22"/>
          <w:szCs w:val="22"/>
        </w:rPr>
        <w:t>Avrupa Birliği bu sistemi bir anda yürürlüğe koymadı ve şirketlerin uyum sağlayabilmesi için aşamalı bir geçiş süreci tasarladı. 2023 ile 2025 yılları arasındaki dönem geçiş süreci olarak kabul ediliyor. Bu aşamada şirketler için doğrudan bir karbon maliyeti uygulanmıyor ancak ithalatçılar ürünlerin üretimi sırasında ortaya çıkan emisyonları raporlamak zorunda. Bu süreç şirketlerin karbon verisi toplama, hesaplama ve raporlama altyapısını kurmaları açısından önemli bir hazırlık dönemi niteliği taşıyor. 1 Ocak 2026 itibarıyla ise sistem finansal bir boyut kazanıyor. Bu tarihten sonra Avrupa Birliği’ne ürün ithal eden şirketler, ithal edilen ürünlerin karbon içeriği için CBAM sertifikası satın almak zorunda kalacak. Bu sertifikaların fiyatı ise Avrupa karbon piyasasındaki fiyatla bağlantılı olacak. Böylece karbon emisyonu ilk kez doğrudan bir ticaret maliyeti haline gelmiş olacak.</w:t>
      </w:r>
    </w:p>
    <w:p w:rsidRPr="00F43810" w:rsidR="001145C9" w:rsidP="058DFE7F" w:rsidRDefault="001145C9" w14:paraId="74C09760" w14:textId="77777777">
      <w:pPr>
        <w:spacing w:line="276" w:lineRule="auto"/>
        <w:jc w:val="both"/>
        <w:rPr>
          <w:rFonts w:ascii="Arial" w:hAnsi="Arial" w:eastAsia="Arial" w:cs="Arial"/>
          <w:b w:val="1"/>
          <w:bCs w:val="1"/>
          <w:sz w:val="22"/>
          <w:szCs w:val="22"/>
        </w:rPr>
      </w:pPr>
      <w:r w:rsidRPr="058DFE7F" w:rsidR="001145C9">
        <w:rPr>
          <w:rFonts w:ascii="Arial" w:hAnsi="Arial" w:eastAsia="Arial" w:cs="Arial"/>
          <w:b w:val="1"/>
          <w:bCs w:val="1"/>
          <w:sz w:val="22"/>
          <w:szCs w:val="22"/>
        </w:rPr>
        <w:t>3. İlk hedef enerji yoğun sektörler</w:t>
      </w:r>
    </w:p>
    <w:p w:rsidRPr="00F43810" w:rsidR="001145C9" w:rsidP="058DFE7F" w:rsidRDefault="001145C9" w14:paraId="1B7C2C9F" w14:textId="77777777">
      <w:pPr>
        <w:spacing w:line="276" w:lineRule="auto"/>
        <w:jc w:val="both"/>
        <w:rPr>
          <w:rFonts w:ascii="Arial" w:hAnsi="Arial" w:eastAsia="Arial" w:cs="Arial"/>
          <w:sz w:val="22"/>
          <w:szCs w:val="22"/>
        </w:rPr>
      </w:pPr>
      <w:r w:rsidRPr="058DFE7F" w:rsidR="001145C9">
        <w:rPr>
          <w:rFonts w:ascii="Arial" w:hAnsi="Arial" w:eastAsia="Arial" w:cs="Arial"/>
          <w:sz w:val="22"/>
          <w:szCs w:val="22"/>
        </w:rPr>
        <w:t xml:space="preserve">CBAM tüm sektörleri aynı anda kapsayacak şekilde tasarlanmadı. Avrupa Birliği ilk aşamada karbon yoğunluğu yüksek sektörlere odaklanmayı tercih etti. Bunun temel nedeni bu sektörlerin hem enerji tüketiminin yüksek olması hem de uluslararası ticarette yoğun rekabet </w:t>
      </w:r>
      <w:r w:rsidRPr="058DFE7F" w:rsidR="001145C9">
        <w:rPr>
          <w:rFonts w:ascii="Arial" w:hAnsi="Arial" w:eastAsia="Arial" w:cs="Arial"/>
          <w:sz w:val="22"/>
          <w:szCs w:val="22"/>
        </w:rPr>
        <w:t>içinde bulunmasıdır. Demir çelik, çimento, alüminyum, gübre, hidrojen ve elektrik üretimi bu kapsamda öncelikli sektörler arasında yer alıyor. Bu sektörler toplam ithalat içinde sınırlı bir paya sahip olsa da emisyon açısından en yoğun alanlar arasında bulunuyor. Bu nedenle Avrupa Birliği karbon düzenlemesini önce bu alanlarda uygulayarak hem sistemin işleyişini test etmeyi hem de en yüksek emisyon kaynaklarına doğrudan müdahale etmeyi hedefliyor.</w:t>
      </w:r>
    </w:p>
    <w:p w:rsidRPr="00F43810" w:rsidR="001145C9" w:rsidP="058DFE7F" w:rsidRDefault="001145C9" w14:paraId="05C89539" w14:textId="77777777">
      <w:pPr>
        <w:spacing w:line="276" w:lineRule="auto"/>
        <w:jc w:val="both"/>
        <w:rPr>
          <w:rFonts w:ascii="Arial" w:hAnsi="Arial" w:eastAsia="Arial" w:cs="Arial"/>
          <w:b w:val="1"/>
          <w:bCs w:val="1"/>
          <w:sz w:val="22"/>
          <w:szCs w:val="22"/>
        </w:rPr>
      </w:pPr>
      <w:r w:rsidRPr="058DFE7F" w:rsidR="001145C9">
        <w:rPr>
          <w:rFonts w:ascii="Arial" w:hAnsi="Arial" w:eastAsia="Arial" w:cs="Arial"/>
          <w:b w:val="1"/>
          <w:bCs w:val="1"/>
          <w:sz w:val="22"/>
          <w:szCs w:val="22"/>
        </w:rPr>
        <w:t>4. Enerji sektörü zincirin merkezinde yer alıyor</w:t>
      </w:r>
    </w:p>
    <w:p w:rsidRPr="00F43810" w:rsidR="001145C9" w:rsidP="058DFE7F" w:rsidRDefault="001145C9" w14:paraId="7B116DCA" w14:textId="77777777">
      <w:pPr>
        <w:spacing w:line="276" w:lineRule="auto"/>
        <w:jc w:val="both"/>
        <w:rPr>
          <w:rFonts w:ascii="Arial" w:hAnsi="Arial" w:eastAsia="Arial" w:cs="Arial"/>
          <w:sz w:val="22"/>
          <w:szCs w:val="22"/>
        </w:rPr>
      </w:pPr>
      <w:r w:rsidRPr="058DFE7F" w:rsidR="001145C9">
        <w:rPr>
          <w:rFonts w:ascii="Arial" w:hAnsi="Arial" w:eastAsia="Arial" w:cs="Arial"/>
          <w:sz w:val="22"/>
          <w:szCs w:val="22"/>
        </w:rPr>
        <w:t>CBAM düzenlemesi incelendiğinde enerji sektörünün sistemin merkezinde yer aldığı görülüyor. Bunun nedeni sanayi üretimindeki karbon yoğunluğunun büyük ölçüde kullanılan enerji kaynağına bağlı olmasıdır. Bir üretim tesisinin karbon ayak izi yalnızca üretim teknolojisinden değil aynı zamanda kullanılan elektriğin veya yakıtın karbon yoğunluğundan da etkileniyor. Eğer üretimde kullanılan enerji yüksek karbonlu kaynaklardan geliyorsa ürünün toplam karbon ayak izi de yükseliyor. Bu durum ithal edilen ürünler için daha yüksek CBAM maliyeti anlamına geliyor. Bu nedenle enerji politikası, sanayi rekabeti ve karbon fiyatı artık aynı ekonomik denklem içinde değerlendiriliyor. Avrupa Birliği’nin yenilenebilir enerji yatırımlarını hızlandırmasının arkasında da bu ilişki bulunuyor.</w:t>
      </w:r>
    </w:p>
    <w:p w:rsidRPr="00F43810" w:rsidR="001145C9" w:rsidP="058DFE7F" w:rsidRDefault="001145C9" w14:paraId="66ADE687" w14:textId="77777777">
      <w:pPr>
        <w:spacing w:line="276" w:lineRule="auto"/>
        <w:jc w:val="both"/>
        <w:rPr>
          <w:rFonts w:ascii="Arial" w:hAnsi="Arial" w:eastAsia="Arial" w:cs="Arial"/>
          <w:b w:val="1"/>
          <w:bCs w:val="1"/>
          <w:sz w:val="22"/>
          <w:szCs w:val="22"/>
        </w:rPr>
      </w:pPr>
      <w:r w:rsidRPr="058DFE7F" w:rsidR="001145C9">
        <w:rPr>
          <w:rFonts w:ascii="Arial" w:hAnsi="Arial" w:eastAsia="Arial" w:cs="Arial"/>
          <w:b w:val="1"/>
          <w:bCs w:val="1"/>
          <w:sz w:val="22"/>
          <w:szCs w:val="22"/>
        </w:rPr>
        <w:t>5. Türkiye ve ihracat açısından yeni bir dönem</w:t>
      </w:r>
    </w:p>
    <w:p w:rsidRPr="00F43810" w:rsidR="001145C9" w:rsidP="058DFE7F" w:rsidRDefault="001145C9" w14:paraId="3871A488" w14:textId="77777777">
      <w:pPr>
        <w:spacing w:line="276" w:lineRule="auto"/>
        <w:jc w:val="both"/>
        <w:rPr>
          <w:rFonts w:ascii="Arial" w:hAnsi="Arial" w:eastAsia="Arial" w:cs="Arial"/>
          <w:sz w:val="22"/>
          <w:szCs w:val="22"/>
        </w:rPr>
      </w:pPr>
      <w:r w:rsidRPr="058DFE7F" w:rsidR="001145C9">
        <w:rPr>
          <w:rFonts w:ascii="Arial" w:hAnsi="Arial" w:eastAsia="Arial" w:cs="Arial"/>
          <w:sz w:val="22"/>
          <w:szCs w:val="22"/>
        </w:rPr>
        <w:t>CBAM düzenlemesi Türkiye açısından da önemli bir dönüşüm anlamına geliyor. Bunun en önemli nedeni Avrupa Birliği’nin Türkiye’nin en büyük ihracat pazarı olmasıdır. Demir çelik, çimento ve alüminyum gibi sektörlerde Türkiye Avrupa pazarına güçlü bir tedarik sağlıyor. Bu sektörlerin aynı zamanda CBAM kapsamındaki sektörler arasında yer alması karbon düzenlemelerini Türkiye için daha kritik hale getiriyor. Bu nedenle Türkiye son yıllarda karbon piyasası ve iklim politikaları alanında çeşitli hazırlıklar yürütüyor. Ulusal Emisyon Ticaret Sistemi hazırlıkları, karbon fiyatlandırması ve iklim kanunu çalışmaları bu sürecin önemli başlıkları arasında yer alıyor. Bu adımların temel amacı Türkiye’deki üreticilerin Avrupa karbon piyasasıyla uyumlu bir yapıya geçmesini sağlamak.</w:t>
      </w:r>
    </w:p>
    <w:p w:rsidRPr="00F43810" w:rsidR="001145C9" w:rsidP="058DFE7F" w:rsidRDefault="001145C9" w14:paraId="7AC1C6ED" w14:textId="77777777">
      <w:pPr>
        <w:spacing w:line="276" w:lineRule="auto"/>
        <w:jc w:val="both"/>
        <w:rPr>
          <w:rFonts w:ascii="Arial" w:hAnsi="Arial" w:eastAsia="Arial" w:cs="Arial"/>
          <w:b w:val="1"/>
          <w:bCs w:val="1"/>
          <w:sz w:val="22"/>
          <w:szCs w:val="22"/>
        </w:rPr>
      </w:pPr>
      <w:r w:rsidRPr="058DFE7F" w:rsidR="001145C9">
        <w:rPr>
          <w:rFonts w:ascii="Arial" w:hAnsi="Arial" w:eastAsia="Arial" w:cs="Arial"/>
          <w:b w:val="1"/>
          <w:bCs w:val="1"/>
          <w:sz w:val="22"/>
          <w:szCs w:val="22"/>
        </w:rPr>
        <w:t>6. CBAM’ın geleceği kapsam genişliyor</w:t>
      </w:r>
    </w:p>
    <w:p w:rsidRPr="00F43810" w:rsidR="001145C9" w:rsidP="058DFE7F" w:rsidRDefault="001145C9" w14:paraId="76F963E9" w14:textId="77777777">
      <w:pPr>
        <w:spacing w:line="276" w:lineRule="auto"/>
        <w:jc w:val="both"/>
        <w:rPr>
          <w:rFonts w:ascii="Arial" w:hAnsi="Arial" w:eastAsia="Arial" w:cs="Arial"/>
          <w:sz w:val="22"/>
          <w:szCs w:val="22"/>
        </w:rPr>
      </w:pPr>
      <w:r w:rsidRPr="058DFE7F" w:rsidR="001145C9">
        <w:rPr>
          <w:rFonts w:ascii="Arial" w:hAnsi="Arial" w:eastAsia="Arial" w:cs="Arial"/>
          <w:sz w:val="22"/>
          <w:szCs w:val="22"/>
        </w:rPr>
        <w:t>CBAM bugün için sınırlı sayıda sektörü kapsıyor olsa da Avrupa Birliği bu sistemi uzun vadede genişletmeyi planlıyor. Önümüzdeki yıllarda daha fazla ürün grubunun ve sektörün sisteme dahil edilmesi bekleniyor. Özellikle tedarik zincirindeki ara ürünlerin de kapsama girmesi ihtimali giderek daha fazla tartışılıyor. Bu durum karbon verisinin şirketler için finansal veri kadar önemli hale gelmesi anlamına geliyor. Karbon ayak izi yalnızca sürdürülebilirlik raporlarında yer alan bir gösterge olmaktan çıkıp yatırım kararlarını, üretim planlarını ve ihracat stratejilerini etkileyen bir faktör haline geliyor.</w:t>
      </w:r>
    </w:p>
    <w:p w:rsidRPr="00F43810" w:rsidR="001145C9" w:rsidP="058DFE7F" w:rsidRDefault="001145C9" w14:paraId="587ADE8D" w14:textId="77777777">
      <w:pPr>
        <w:spacing w:line="276" w:lineRule="auto"/>
        <w:jc w:val="both"/>
        <w:rPr>
          <w:rFonts w:ascii="Arial" w:hAnsi="Arial" w:eastAsia="Arial" w:cs="Arial"/>
          <w:b w:val="1"/>
          <w:bCs w:val="1"/>
          <w:sz w:val="22"/>
          <w:szCs w:val="22"/>
        </w:rPr>
      </w:pPr>
      <w:r w:rsidRPr="058DFE7F" w:rsidR="001145C9">
        <w:rPr>
          <w:rFonts w:ascii="Arial" w:hAnsi="Arial" w:eastAsia="Arial" w:cs="Arial"/>
          <w:b w:val="1"/>
          <w:bCs w:val="1"/>
          <w:sz w:val="22"/>
          <w:szCs w:val="22"/>
        </w:rPr>
        <w:t>Sonuç</w:t>
      </w:r>
    </w:p>
    <w:p w:rsidRPr="00F43810" w:rsidR="001145C9" w:rsidP="058DFE7F" w:rsidRDefault="001145C9" w14:paraId="7CB89944" w14:textId="77777777">
      <w:pPr>
        <w:spacing w:line="276" w:lineRule="auto"/>
        <w:jc w:val="both"/>
        <w:rPr>
          <w:rFonts w:ascii="Arial" w:hAnsi="Arial" w:eastAsia="Arial" w:cs="Arial"/>
          <w:sz w:val="22"/>
          <w:szCs w:val="22"/>
        </w:rPr>
      </w:pPr>
      <w:r w:rsidRPr="058DFE7F" w:rsidR="001145C9">
        <w:rPr>
          <w:rFonts w:ascii="Arial" w:hAnsi="Arial" w:eastAsia="Arial" w:cs="Arial"/>
          <w:sz w:val="22"/>
          <w:szCs w:val="22"/>
        </w:rPr>
        <w:t xml:space="preserve">Enerji sektörü, karbon piyasası ve CBAM birlikte değerlendirildiğinde yeni bir ekonomik gerçek ortaya çıkıyor. Enerji maliyeti, karbon maliyeti ve ticaret maliyeti artık birbirinden ayrı düşünülemiyor. Bu üç unsur aynı sistem içinde birbirini doğrudan etkiliyor. Bu nedenle şirketler için yeni soru giderek daha önemli hale geliyor. Bir ürünün karbon profili nedir ve bu profil uluslararası ticarette nasıl bir maliyet yaratacaktır. Çünkü bu sorunun cevabı artık </w:t>
      </w:r>
      <w:r w:rsidRPr="058DFE7F" w:rsidR="001145C9">
        <w:rPr>
          <w:rFonts w:ascii="Arial" w:hAnsi="Arial" w:eastAsia="Arial" w:cs="Arial"/>
          <w:sz w:val="22"/>
          <w:szCs w:val="22"/>
        </w:rPr>
        <w:t>yalnızca çevresel performansı değil, aynı zamanda pazar erişimini ve rekabet gücünü de belirliyor.</w:t>
      </w:r>
    </w:p>
    <w:p w:rsidRPr="00F43810" w:rsidR="00844EDB" w:rsidP="058DFE7F" w:rsidRDefault="00844EDB" w14:paraId="04F4DA29" w14:textId="77777777">
      <w:pPr>
        <w:spacing w:line="276" w:lineRule="auto"/>
        <w:jc w:val="both"/>
        <w:rPr>
          <w:rFonts w:ascii="Arial" w:hAnsi="Arial" w:eastAsia="Arial" w:cs="Arial"/>
          <w:sz w:val="22"/>
          <w:szCs w:val="22"/>
          <w:lang w:val="tr-TR"/>
        </w:rPr>
      </w:pPr>
      <w:r w:rsidRPr="058DFE7F">
        <w:rPr>
          <w:rFonts w:ascii="Arial" w:hAnsi="Arial" w:eastAsia="Arial" w:cs="Arial"/>
          <w:sz w:val="22"/>
          <w:szCs w:val="22"/>
          <w:lang w:val="tr-TR"/>
        </w:rPr>
        <w:br w:type="page"/>
      </w:r>
    </w:p>
    <w:p w:rsidR="6FF916F5" w:rsidP="058DFE7F" w:rsidRDefault="6FF916F5" w14:paraId="5590EC1E" w14:textId="45A82442">
      <w:pPr>
        <w:spacing w:line="276" w:lineRule="auto"/>
        <w:ind w:left="0"/>
        <w:jc w:val="both"/>
        <w:rPr>
          <w:rFonts w:ascii="Arial" w:hAnsi="Arial" w:eastAsia="Arial" w:cs="Arial"/>
          <w:sz w:val="22"/>
          <w:szCs w:val="22"/>
          <w:lang w:val="tr-TR"/>
        </w:rPr>
      </w:pPr>
      <w:r w:rsidRPr="058DFE7F" w:rsidR="6FF916F5">
        <w:rPr>
          <w:rFonts w:ascii="Arial" w:hAnsi="Arial" w:eastAsia="Arial" w:cs="Arial"/>
          <w:sz w:val="22"/>
          <w:szCs w:val="22"/>
          <w:lang w:val="tr-TR"/>
        </w:rPr>
        <w:t>AĞUSTOS</w:t>
      </w:r>
      <w:r w:rsidRPr="058DFE7F" w:rsidR="6FF916F5">
        <w:rPr>
          <w:rFonts w:ascii="Arial" w:hAnsi="Arial" w:eastAsia="Arial" w:cs="Arial"/>
          <w:sz w:val="22"/>
          <w:szCs w:val="22"/>
          <w:lang w:val="tr-TR"/>
        </w:rPr>
        <w:t xml:space="preserve"> 2025</w:t>
      </w:r>
    </w:p>
    <w:p w:rsidRPr="00F43810" w:rsidR="00844EDB" w:rsidP="058DFE7F" w:rsidRDefault="00844EDB" w14:paraId="09921144" w14:textId="1DDB666B">
      <w:pPr>
        <w:numPr>
          <w:ilvl w:val="0"/>
          <w:numId w:val="11"/>
        </w:numPr>
        <w:spacing w:line="276" w:lineRule="auto"/>
        <w:jc w:val="both"/>
        <w:rPr>
          <w:rFonts w:ascii="Arial" w:hAnsi="Arial" w:eastAsia="Arial" w:cs="Arial"/>
          <w:sz w:val="22"/>
          <w:szCs w:val="22"/>
          <w:lang w:val="tr-TR"/>
        </w:rPr>
      </w:pPr>
      <w:r w:rsidRPr="058DFE7F" w:rsidR="00844EDB">
        <w:rPr>
          <w:rFonts w:ascii="Arial" w:hAnsi="Arial" w:eastAsia="Arial" w:cs="Arial"/>
          <w:sz w:val="22"/>
          <w:szCs w:val="22"/>
          <w:lang w:val="tr-TR"/>
        </w:rPr>
        <w:t>KARBON KREDİLENDİRME VE DENKLEŞTİRME NEDİR? </w:t>
      </w:r>
    </w:p>
    <w:p w:rsidRPr="00F43810" w:rsidR="00702855" w:rsidP="058DFE7F" w:rsidRDefault="008E2F2E" w14:paraId="5B2354E5" w14:textId="234637D7">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0"/>
          <w:bCs w:val="0"/>
          <w:i w:val="0"/>
          <w:iCs w:val="0"/>
          <w:caps w:val="0"/>
          <w:smallCaps w:val="0"/>
          <w:noProof/>
          <w:sz w:val="22"/>
          <w:szCs w:val="22"/>
          <w:lang w:val="en-US"/>
        </w:rPr>
        <w:t xml:space="preserve">İklim değişikliğiyle mücadelede öne çıkan araçlardan biri olan </w:t>
      </w:r>
      <w:r w:rsidRPr="058DFE7F" w:rsidR="1278A765">
        <w:rPr>
          <w:rFonts w:ascii="Arial" w:hAnsi="Arial" w:eastAsia="Arial" w:cs="Arial"/>
          <w:b w:val="1"/>
          <w:bCs w:val="1"/>
          <w:i w:val="0"/>
          <w:iCs w:val="0"/>
          <w:caps w:val="0"/>
          <w:smallCaps w:val="0"/>
          <w:noProof/>
          <w:sz w:val="22"/>
          <w:szCs w:val="22"/>
          <w:lang w:val="en-US"/>
        </w:rPr>
        <w:t>karbon kredilendirme</w:t>
      </w:r>
      <w:r w:rsidRPr="058DFE7F" w:rsidR="1278A765">
        <w:rPr>
          <w:rFonts w:ascii="Arial" w:hAnsi="Arial" w:eastAsia="Arial" w:cs="Arial"/>
          <w:b w:val="0"/>
          <w:bCs w:val="0"/>
          <w:i w:val="0"/>
          <w:iCs w:val="0"/>
          <w:caps w:val="0"/>
          <w:smallCaps w:val="0"/>
          <w:noProof/>
          <w:sz w:val="22"/>
          <w:szCs w:val="22"/>
          <w:lang w:val="en-US"/>
        </w:rPr>
        <w:t xml:space="preserve"> ve </w:t>
      </w:r>
      <w:r w:rsidRPr="058DFE7F" w:rsidR="1278A765">
        <w:rPr>
          <w:rFonts w:ascii="Arial" w:hAnsi="Arial" w:eastAsia="Arial" w:cs="Arial"/>
          <w:b w:val="1"/>
          <w:bCs w:val="1"/>
          <w:i w:val="0"/>
          <w:iCs w:val="0"/>
          <w:caps w:val="0"/>
          <w:smallCaps w:val="0"/>
          <w:noProof/>
          <w:sz w:val="22"/>
          <w:szCs w:val="22"/>
          <w:lang w:val="en-US"/>
        </w:rPr>
        <w:t>karbon denkleştirme</w:t>
      </w:r>
      <w:r w:rsidRPr="058DFE7F" w:rsidR="1278A765">
        <w:rPr>
          <w:rFonts w:ascii="Arial" w:hAnsi="Arial" w:eastAsia="Arial" w:cs="Arial"/>
          <w:b w:val="0"/>
          <w:bCs w:val="0"/>
          <w:i w:val="0"/>
          <w:iCs w:val="0"/>
          <w:caps w:val="0"/>
          <w:smallCaps w:val="0"/>
          <w:noProof/>
          <w:sz w:val="22"/>
          <w:szCs w:val="22"/>
          <w:lang w:val="en-US"/>
        </w:rPr>
        <w:t xml:space="preserve">, Türkiye’de de mevzuat altyapısına kavuşmak üzere. Henüz taslak aşamasında olan </w:t>
      </w:r>
      <w:r w:rsidRPr="058DFE7F" w:rsidR="1278A765">
        <w:rPr>
          <w:rFonts w:ascii="Arial" w:hAnsi="Arial" w:eastAsia="Arial" w:cs="Arial"/>
          <w:b w:val="1"/>
          <w:bCs w:val="1"/>
          <w:i w:val="0"/>
          <w:iCs w:val="0"/>
          <w:caps w:val="0"/>
          <w:smallCaps w:val="0"/>
          <w:noProof/>
          <w:sz w:val="22"/>
          <w:szCs w:val="22"/>
          <w:lang w:val="en-US"/>
        </w:rPr>
        <w:t>Türkiye Karbon Kredilendirme ve Denkleştirme Yönetmeliği Taslağı</w:t>
      </w:r>
      <w:r w:rsidRPr="058DFE7F" w:rsidR="1278A765">
        <w:rPr>
          <w:rFonts w:ascii="Arial" w:hAnsi="Arial" w:eastAsia="Arial" w:cs="Arial"/>
          <w:b w:val="0"/>
          <w:bCs w:val="0"/>
          <w:i w:val="0"/>
          <w:iCs w:val="0"/>
          <w:caps w:val="0"/>
          <w:smallCaps w:val="0"/>
          <w:noProof/>
          <w:sz w:val="22"/>
          <w:szCs w:val="22"/>
          <w:lang w:val="en-US"/>
        </w:rPr>
        <w:t xml:space="preserve"> ile bu kavramlar yakında daha sistemli ve resmi bir yapıya kavuşacak. Peki bu terimler ne anlama geliyor? </w:t>
      </w:r>
    </w:p>
    <w:p w:rsidRPr="00F43810" w:rsidR="00702855" w:rsidP="058DFE7F" w:rsidRDefault="008E2F2E" w14:paraId="112B92C0" w14:textId="3AF00F3F">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1"/>
          <w:bCs w:val="1"/>
          <w:i w:val="0"/>
          <w:iCs w:val="0"/>
          <w:caps w:val="0"/>
          <w:smallCaps w:val="0"/>
          <w:noProof/>
          <w:sz w:val="22"/>
          <w:szCs w:val="22"/>
          <w:lang w:val="en-US"/>
        </w:rPr>
        <w:t>Karbon Kredisi Nedir?</w:t>
      </w:r>
      <w:r w:rsidRPr="058DFE7F" w:rsidR="1278A765">
        <w:rPr>
          <w:rFonts w:ascii="Arial" w:hAnsi="Arial" w:eastAsia="Arial" w:cs="Arial"/>
          <w:b w:val="0"/>
          <w:bCs w:val="0"/>
          <w:i w:val="0"/>
          <w:iCs w:val="0"/>
          <w:caps w:val="0"/>
          <w:smallCaps w:val="0"/>
          <w:noProof/>
          <w:sz w:val="22"/>
          <w:szCs w:val="22"/>
          <w:lang w:val="en-US"/>
        </w:rPr>
        <w:t xml:space="preserve"> </w:t>
      </w:r>
    </w:p>
    <w:p w:rsidRPr="00F43810" w:rsidR="00702855" w:rsidP="058DFE7F" w:rsidRDefault="008E2F2E" w14:paraId="1F4F0F37" w14:textId="68D25B3A">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0"/>
          <w:bCs w:val="0"/>
          <w:i w:val="0"/>
          <w:iCs w:val="0"/>
          <w:caps w:val="0"/>
          <w:smallCaps w:val="0"/>
          <w:noProof/>
          <w:sz w:val="22"/>
          <w:szCs w:val="22"/>
          <w:lang w:val="en-US"/>
        </w:rPr>
        <w:t xml:space="preserve">Karbon kredisi, </w:t>
      </w:r>
      <w:r w:rsidRPr="058DFE7F" w:rsidR="1278A765">
        <w:rPr>
          <w:rFonts w:ascii="Arial" w:hAnsi="Arial" w:eastAsia="Arial" w:cs="Arial"/>
          <w:b w:val="1"/>
          <w:bCs w:val="1"/>
          <w:i w:val="0"/>
          <w:iCs w:val="0"/>
          <w:caps w:val="0"/>
          <w:smallCaps w:val="0"/>
          <w:noProof/>
          <w:sz w:val="22"/>
          <w:szCs w:val="22"/>
          <w:lang w:val="en-US"/>
        </w:rPr>
        <w:t>bir ton karbondioksit eşdeğeri</w:t>
      </w:r>
      <w:r w:rsidRPr="058DFE7F" w:rsidR="1278A765">
        <w:rPr>
          <w:rFonts w:ascii="Arial" w:hAnsi="Arial" w:eastAsia="Arial" w:cs="Arial"/>
          <w:b w:val="0"/>
          <w:bCs w:val="0"/>
          <w:i w:val="0"/>
          <w:iCs w:val="0"/>
          <w:caps w:val="0"/>
          <w:smallCaps w:val="0"/>
          <w:noProof/>
          <w:sz w:val="22"/>
          <w:szCs w:val="22"/>
          <w:lang w:val="en-US"/>
        </w:rPr>
        <w:t xml:space="preserve"> sera gazı emisyonunun azaltılması veya atmosferden giderilmesiyle elde edilen ölçülebilir bir birimdir. </w:t>
      </w:r>
    </w:p>
    <w:p w:rsidRPr="00F43810" w:rsidR="00702855" w:rsidP="058DFE7F" w:rsidRDefault="008E2F2E" w14:paraId="1829F4BC" w14:textId="45402581">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0"/>
          <w:bCs w:val="0"/>
          <w:i w:val="0"/>
          <w:iCs w:val="0"/>
          <w:caps w:val="0"/>
          <w:smallCaps w:val="0"/>
          <w:noProof/>
          <w:sz w:val="22"/>
          <w:szCs w:val="22"/>
          <w:lang w:val="en-US"/>
        </w:rPr>
        <w:t xml:space="preserve">Bu kredi: </w:t>
      </w:r>
    </w:p>
    <w:p w:rsidRPr="00F43810" w:rsidR="00702855" w:rsidP="058DFE7F" w:rsidRDefault="008E2F2E" w14:paraId="52D63B6F" w14:textId="10147FEE">
      <w:pPr>
        <w:pStyle w:val="Normal"/>
        <w:numPr>
          <w:ilvl w:val="0"/>
          <w:numId w:val="22"/>
        </w:numPr>
        <w:spacing w:line="276" w:lineRule="auto"/>
        <w:jc w:val="both"/>
        <w:rPr>
          <w:rFonts w:ascii="Arial" w:hAnsi="Arial" w:eastAsia="Arial" w:cs="Arial"/>
          <w:noProof/>
          <w:sz w:val="22"/>
          <w:szCs w:val="22"/>
          <w:lang w:val="en-US"/>
        </w:rPr>
      </w:pPr>
      <w:r w:rsidRPr="058DFE7F" w:rsidR="1278A765">
        <w:rPr>
          <w:rFonts w:ascii="Arial" w:hAnsi="Arial" w:eastAsia="Arial" w:cs="Arial"/>
          <w:noProof/>
          <w:sz w:val="22"/>
          <w:szCs w:val="22"/>
          <w:lang w:val="en-US"/>
        </w:rPr>
        <w:t xml:space="preserve">Belirli projeler aracılığıyla üretilir, </w:t>
      </w:r>
    </w:p>
    <w:p w:rsidRPr="00F43810" w:rsidR="00702855" w:rsidP="058DFE7F" w:rsidRDefault="008E2F2E" w14:paraId="581FFDDB" w14:textId="07F0C467">
      <w:pPr>
        <w:pStyle w:val="Normal"/>
        <w:numPr>
          <w:ilvl w:val="0"/>
          <w:numId w:val="23"/>
        </w:numPr>
        <w:spacing w:line="276" w:lineRule="auto"/>
        <w:jc w:val="both"/>
        <w:rPr>
          <w:rFonts w:ascii="Arial" w:hAnsi="Arial" w:eastAsia="Arial" w:cs="Arial"/>
          <w:noProof/>
          <w:sz w:val="22"/>
          <w:szCs w:val="22"/>
          <w:lang w:val="en-US"/>
        </w:rPr>
      </w:pPr>
      <w:r w:rsidRPr="058DFE7F" w:rsidR="1278A765">
        <w:rPr>
          <w:rFonts w:ascii="Arial" w:hAnsi="Arial" w:eastAsia="Arial" w:cs="Arial"/>
          <w:noProof/>
          <w:sz w:val="22"/>
          <w:szCs w:val="22"/>
          <w:lang w:val="en-US"/>
        </w:rPr>
        <w:t xml:space="preserve">Bağımsız kuruluşlarca doğrulanır, </w:t>
      </w:r>
    </w:p>
    <w:p w:rsidRPr="00F43810" w:rsidR="00702855" w:rsidP="058DFE7F" w:rsidRDefault="008E2F2E" w14:paraId="1D53D179" w14:textId="5CB0F624">
      <w:pPr>
        <w:pStyle w:val="Normal"/>
        <w:numPr>
          <w:ilvl w:val="0"/>
          <w:numId w:val="24"/>
        </w:numPr>
        <w:spacing w:line="276" w:lineRule="auto"/>
        <w:jc w:val="both"/>
        <w:rPr>
          <w:rFonts w:ascii="Arial" w:hAnsi="Arial" w:eastAsia="Arial" w:cs="Arial"/>
          <w:noProof/>
          <w:sz w:val="22"/>
          <w:szCs w:val="22"/>
          <w:lang w:val="en-US"/>
        </w:rPr>
      </w:pPr>
      <w:r w:rsidRPr="058DFE7F" w:rsidR="1278A765">
        <w:rPr>
          <w:rFonts w:ascii="Arial" w:hAnsi="Arial" w:eastAsia="Arial" w:cs="Arial"/>
          <w:noProof/>
          <w:sz w:val="22"/>
          <w:szCs w:val="22"/>
          <w:lang w:val="en-US"/>
        </w:rPr>
        <w:t xml:space="preserve">Tescil edilir ve alınıp satılabilir hale gelir. </w:t>
      </w:r>
    </w:p>
    <w:p w:rsidRPr="00F43810" w:rsidR="00702855" w:rsidP="058DFE7F" w:rsidRDefault="008E2F2E" w14:paraId="68ABEE49" w14:textId="25A9CE28">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0"/>
          <w:bCs w:val="0"/>
          <w:i w:val="0"/>
          <w:iCs w:val="0"/>
          <w:caps w:val="0"/>
          <w:smallCaps w:val="0"/>
          <w:noProof/>
          <w:sz w:val="22"/>
          <w:szCs w:val="22"/>
          <w:lang w:val="en-US"/>
        </w:rPr>
        <w:t xml:space="preserve">Türkiye'de bu kredilerin adı, taslağa göre </w:t>
      </w:r>
      <w:r w:rsidRPr="058DFE7F" w:rsidR="1278A765">
        <w:rPr>
          <w:rFonts w:ascii="Arial" w:hAnsi="Arial" w:eastAsia="Arial" w:cs="Arial"/>
          <w:b w:val="1"/>
          <w:bCs w:val="1"/>
          <w:i w:val="0"/>
          <w:iCs w:val="0"/>
          <w:caps w:val="0"/>
          <w:smallCaps w:val="0"/>
          <w:noProof/>
          <w:sz w:val="22"/>
          <w:szCs w:val="22"/>
          <w:lang w:val="en-US"/>
        </w:rPr>
        <w:t>“Turkuaz Kredi”</w:t>
      </w:r>
      <w:r w:rsidRPr="058DFE7F" w:rsidR="1278A765">
        <w:rPr>
          <w:rFonts w:ascii="Arial" w:hAnsi="Arial" w:eastAsia="Arial" w:cs="Arial"/>
          <w:b w:val="0"/>
          <w:bCs w:val="0"/>
          <w:i w:val="0"/>
          <w:iCs w:val="0"/>
          <w:caps w:val="0"/>
          <w:smallCaps w:val="0"/>
          <w:noProof/>
          <w:sz w:val="22"/>
          <w:szCs w:val="22"/>
          <w:lang w:val="en-US"/>
        </w:rPr>
        <w:t xml:space="preserve"> olarak tanımlanmıştır. </w:t>
      </w:r>
    </w:p>
    <w:p w:rsidRPr="00F43810" w:rsidR="00702855" w:rsidP="058DFE7F" w:rsidRDefault="008E2F2E" w14:paraId="0D53F57B" w14:textId="0EF21AA4">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1"/>
          <w:bCs w:val="1"/>
          <w:i w:val="0"/>
          <w:iCs w:val="0"/>
          <w:caps w:val="0"/>
          <w:smallCaps w:val="0"/>
          <w:noProof/>
          <w:sz w:val="22"/>
          <w:szCs w:val="22"/>
          <w:lang w:val="en-US"/>
        </w:rPr>
        <w:t>Karbon Denkleştirme Nedir?</w:t>
      </w:r>
      <w:r w:rsidRPr="058DFE7F" w:rsidR="1278A765">
        <w:rPr>
          <w:rFonts w:ascii="Arial" w:hAnsi="Arial" w:eastAsia="Arial" w:cs="Arial"/>
          <w:b w:val="0"/>
          <w:bCs w:val="0"/>
          <w:i w:val="0"/>
          <w:iCs w:val="0"/>
          <w:caps w:val="0"/>
          <w:smallCaps w:val="0"/>
          <w:noProof/>
          <w:sz w:val="22"/>
          <w:szCs w:val="22"/>
          <w:lang w:val="en-US"/>
        </w:rPr>
        <w:t xml:space="preserve"> </w:t>
      </w:r>
    </w:p>
    <w:p w:rsidRPr="00F43810" w:rsidR="00702855" w:rsidP="058DFE7F" w:rsidRDefault="008E2F2E" w14:paraId="35462B2E" w14:textId="5AA7B012">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0"/>
          <w:bCs w:val="0"/>
          <w:i w:val="0"/>
          <w:iCs w:val="0"/>
          <w:caps w:val="0"/>
          <w:smallCaps w:val="0"/>
          <w:noProof/>
          <w:sz w:val="22"/>
          <w:szCs w:val="22"/>
          <w:lang w:val="en-US"/>
        </w:rPr>
        <w:t xml:space="preserve">Denkleştirme, bir kuruluşun neden olduğu emisyonları, başka bir yerde azaltılmış ya da yok edilmiş eşdeğer miktarla </w:t>
      </w:r>
      <w:r w:rsidRPr="058DFE7F" w:rsidR="1278A765">
        <w:rPr>
          <w:rFonts w:ascii="Arial" w:hAnsi="Arial" w:eastAsia="Arial" w:cs="Arial"/>
          <w:b w:val="1"/>
          <w:bCs w:val="1"/>
          <w:i w:val="0"/>
          <w:iCs w:val="0"/>
          <w:caps w:val="0"/>
          <w:smallCaps w:val="0"/>
          <w:noProof/>
          <w:sz w:val="22"/>
          <w:szCs w:val="22"/>
          <w:lang w:val="en-US"/>
        </w:rPr>
        <w:t>dengeye getirmesidir</w:t>
      </w:r>
      <w:r w:rsidRPr="058DFE7F" w:rsidR="1278A765">
        <w:rPr>
          <w:rFonts w:ascii="Arial" w:hAnsi="Arial" w:eastAsia="Arial" w:cs="Arial"/>
          <w:b w:val="0"/>
          <w:bCs w:val="0"/>
          <w:i w:val="0"/>
          <w:iCs w:val="0"/>
          <w:caps w:val="0"/>
          <w:smallCaps w:val="0"/>
          <w:noProof/>
          <w:sz w:val="22"/>
          <w:szCs w:val="22"/>
          <w:lang w:val="en-US"/>
        </w:rPr>
        <w:t xml:space="preserve">. </w:t>
      </w:r>
    </w:p>
    <w:p w:rsidRPr="00F43810" w:rsidR="00702855" w:rsidP="058DFE7F" w:rsidRDefault="008E2F2E" w14:paraId="19A78F88" w14:textId="2A6E1517">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0"/>
          <w:bCs w:val="0"/>
          <w:i w:val="0"/>
          <w:iCs w:val="0"/>
          <w:caps w:val="0"/>
          <w:smallCaps w:val="0"/>
          <w:noProof/>
          <w:sz w:val="22"/>
          <w:szCs w:val="22"/>
          <w:lang w:val="en-US"/>
        </w:rPr>
        <w:t xml:space="preserve">Yani bir şirket doğrudan emisyonlarını azaltamıyorsa, bunu başaran bir projeden karbon kredisi alarak bu emisyonları telafi edebilir. </w:t>
      </w:r>
    </w:p>
    <w:p w:rsidRPr="00F43810" w:rsidR="00702855" w:rsidP="058DFE7F" w:rsidRDefault="008E2F2E" w14:paraId="2C522735" w14:textId="257DDFCA">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1"/>
          <w:bCs w:val="1"/>
          <w:i w:val="0"/>
          <w:iCs w:val="0"/>
          <w:caps w:val="0"/>
          <w:smallCaps w:val="0"/>
          <w:noProof/>
          <w:sz w:val="22"/>
          <w:szCs w:val="22"/>
          <w:lang w:val="en-US"/>
        </w:rPr>
        <w:t>Türkiye’de Nasıl Bir Sistem Kurulacak?</w:t>
      </w:r>
      <w:r w:rsidRPr="058DFE7F" w:rsidR="1278A765">
        <w:rPr>
          <w:rFonts w:ascii="Arial" w:hAnsi="Arial" w:eastAsia="Arial" w:cs="Arial"/>
          <w:b w:val="0"/>
          <w:bCs w:val="0"/>
          <w:i w:val="0"/>
          <w:iCs w:val="0"/>
          <w:caps w:val="0"/>
          <w:smallCaps w:val="0"/>
          <w:noProof/>
          <w:sz w:val="22"/>
          <w:szCs w:val="22"/>
          <w:lang w:val="en-US"/>
        </w:rPr>
        <w:t xml:space="preserve"> </w:t>
      </w:r>
    </w:p>
    <w:p w:rsidRPr="00F43810" w:rsidR="00702855" w:rsidP="058DFE7F" w:rsidRDefault="008E2F2E" w14:paraId="417A6987" w14:textId="1468DEC7">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0"/>
          <w:bCs w:val="0"/>
          <w:i w:val="0"/>
          <w:iCs w:val="0"/>
          <w:caps w:val="0"/>
          <w:smallCaps w:val="0"/>
          <w:noProof/>
          <w:sz w:val="22"/>
          <w:szCs w:val="22"/>
          <w:lang w:val="en-US"/>
        </w:rPr>
        <w:t xml:space="preserve">Taslak yönetmelik, Türkiye'de karbon kredisi üretimi ve denkleştirme süreçlerini yönetecek kapsamlı bir yapıyı tarif etmektedir: </w:t>
      </w:r>
    </w:p>
    <w:p w:rsidRPr="00F43810" w:rsidR="00702855" w:rsidP="058DFE7F" w:rsidRDefault="008E2F2E" w14:paraId="2F7DD0B2" w14:textId="3578B0D1">
      <w:pPr>
        <w:pStyle w:val="Normal"/>
        <w:numPr>
          <w:ilvl w:val="0"/>
          <w:numId w:val="25"/>
        </w:numPr>
        <w:spacing w:line="276" w:lineRule="auto"/>
        <w:jc w:val="both"/>
        <w:rPr>
          <w:rFonts w:ascii="Arial" w:hAnsi="Arial" w:eastAsia="Arial" w:cs="Arial"/>
          <w:noProof/>
          <w:sz w:val="22"/>
          <w:szCs w:val="22"/>
          <w:lang w:val="en-US"/>
        </w:rPr>
      </w:pPr>
      <w:r w:rsidRPr="058DFE7F" w:rsidR="1278A765">
        <w:rPr>
          <w:rFonts w:ascii="Arial" w:hAnsi="Arial" w:eastAsia="Arial" w:cs="Arial"/>
          <w:b w:val="1"/>
          <w:bCs w:val="1"/>
          <w:noProof/>
          <w:sz w:val="22"/>
          <w:szCs w:val="22"/>
          <w:lang w:val="en-US"/>
        </w:rPr>
        <w:t>TR KDS (Türkiye Karbon Denkleştirme Sistemi)</w:t>
      </w:r>
      <w:r w:rsidRPr="058DFE7F" w:rsidR="1278A765">
        <w:rPr>
          <w:rFonts w:ascii="Arial" w:hAnsi="Arial" w:eastAsia="Arial" w:cs="Arial"/>
          <w:noProof/>
          <w:sz w:val="22"/>
          <w:szCs w:val="22"/>
          <w:lang w:val="en-US"/>
        </w:rPr>
        <w:t xml:space="preserve">: Karbon kredilerinin üretileceği ve takip edileceği sistem. </w:t>
      </w:r>
    </w:p>
    <w:p w:rsidRPr="00F43810" w:rsidR="00702855" w:rsidP="058DFE7F" w:rsidRDefault="008E2F2E" w14:paraId="396AD940" w14:textId="18AAC002">
      <w:pPr>
        <w:pStyle w:val="Normal"/>
        <w:numPr>
          <w:ilvl w:val="0"/>
          <w:numId w:val="26"/>
        </w:numPr>
        <w:spacing w:line="276" w:lineRule="auto"/>
        <w:jc w:val="both"/>
        <w:rPr>
          <w:rFonts w:ascii="Arial" w:hAnsi="Arial" w:eastAsia="Arial" w:cs="Arial"/>
          <w:noProof/>
          <w:sz w:val="22"/>
          <w:szCs w:val="22"/>
          <w:lang w:val="en-US"/>
        </w:rPr>
      </w:pPr>
      <w:r w:rsidRPr="058DFE7F" w:rsidR="1278A765">
        <w:rPr>
          <w:rFonts w:ascii="Arial" w:hAnsi="Arial" w:eastAsia="Arial" w:cs="Arial"/>
          <w:b w:val="1"/>
          <w:bCs w:val="1"/>
          <w:noProof/>
          <w:sz w:val="22"/>
          <w:szCs w:val="22"/>
          <w:lang w:val="en-US"/>
        </w:rPr>
        <w:t>TSE (Türk Standardları Enstitüsü)</w:t>
      </w:r>
      <w:r w:rsidRPr="058DFE7F" w:rsidR="1278A765">
        <w:rPr>
          <w:rFonts w:ascii="Arial" w:hAnsi="Arial" w:eastAsia="Arial" w:cs="Arial"/>
          <w:noProof/>
          <w:sz w:val="22"/>
          <w:szCs w:val="22"/>
          <w:lang w:val="en-US"/>
        </w:rPr>
        <w:t xml:space="preserve">: Projelerin başvurusunu alacak, kayıt işlemlerini gerçekleştirecek. </w:t>
      </w:r>
    </w:p>
    <w:p w:rsidRPr="00F43810" w:rsidR="00702855" w:rsidP="058DFE7F" w:rsidRDefault="008E2F2E" w14:paraId="5EE2570F" w14:textId="531E89C2">
      <w:pPr>
        <w:pStyle w:val="Normal"/>
        <w:numPr>
          <w:ilvl w:val="0"/>
          <w:numId w:val="27"/>
        </w:numPr>
        <w:spacing w:line="276" w:lineRule="auto"/>
        <w:jc w:val="both"/>
        <w:rPr>
          <w:rFonts w:ascii="Arial" w:hAnsi="Arial" w:eastAsia="Arial" w:cs="Arial"/>
          <w:noProof/>
          <w:sz w:val="22"/>
          <w:szCs w:val="22"/>
          <w:lang w:val="en-US"/>
        </w:rPr>
      </w:pPr>
      <w:r w:rsidRPr="058DFE7F" w:rsidR="1278A765">
        <w:rPr>
          <w:rFonts w:ascii="Arial" w:hAnsi="Arial" w:eastAsia="Arial" w:cs="Arial"/>
          <w:b w:val="1"/>
          <w:bCs w:val="1"/>
          <w:noProof/>
          <w:sz w:val="22"/>
          <w:szCs w:val="22"/>
          <w:lang w:val="en-US"/>
        </w:rPr>
        <w:t>TÜRKAK</w:t>
      </w:r>
      <w:r w:rsidRPr="058DFE7F" w:rsidR="1278A765">
        <w:rPr>
          <w:rFonts w:ascii="Arial" w:hAnsi="Arial" w:eastAsia="Arial" w:cs="Arial"/>
          <w:noProof/>
          <w:sz w:val="22"/>
          <w:szCs w:val="22"/>
          <w:lang w:val="en-US"/>
        </w:rPr>
        <w:t xml:space="preserve">: Doğrulayıcı kuruluşları akredite edecek. </w:t>
      </w:r>
    </w:p>
    <w:p w:rsidRPr="00F43810" w:rsidR="00702855" w:rsidP="058DFE7F" w:rsidRDefault="008E2F2E" w14:paraId="2F80F121" w14:textId="342A887F">
      <w:pPr>
        <w:pStyle w:val="Normal"/>
        <w:numPr>
          <w:ilvl w:val="0"/>
          <w:numId w:val="28"/>
        </w:numPr>
        <w:spacing w:line="276" w:lineRule="auto"/>
        <w:jc w:val="both"/>
        <w:rPr>
          <w:rFonts w:ascii="Arial" w:hAnsi="Arial" w:eastAsia="Arial" w:cs="Arial"/>
          <w:noProof/>
          <w:sz w:val="22"/>
          <w:szCs w:val="22"/>
          <w:lang w:val="en-US"/>
        </w:rPr>
      </w:pPr>
      <w:r w:rsidRPr="058DFE7F" w:rsidR="1278A765">
        <w:rPr>
          <w:rFonts w:ascii="Arial" w:hAnsi="Arial" w:eastAsia="Arial" w:cs="Arial"/>
          <w:b w:val="1"/>
          <w:bCs w:val="1"/>
          <w:noProof/>
          <w:sz w:val="22"/>
          <w:szCs w:val="22"/>
          <w:lang w:val="en-US"/>
        </w:rPr>
        <w:t>Turkuaz Kredi</w:t>
      </w:r>
      <w:r w:rsidRPr="058DFE7F" w:rsidR="1278A765">
        <w:rPr>
          <w:rFonts w:ascii="Arial" w:hAnsi="Arial" w:eastAsia="Arial" w:cs="Arial"/>
          <w:noProof/>
          <w:sz w:val="22"/>
          <w:szCs w:val="22"/>
          <w:lang w:val="en-US"/>
        </w:rPr>
        <w:t xml:space="preserve">: Türkiye’de üretilecek resmi karbon kredisi birimi. </w:t>
      </w:r>
    </w:p>
    <w:p w:rsidRPr="00F43810" w:rsidR="00702855" w:rsidP="058DFE7F" w:rsidRDefault="008E2F2E" w14:paraId="41A92D1C" w14:textId="4D76FFB7">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0"/>
          <w:bCs w:val="0"/>
          <w:i w:val="0"/>
          <w:iCs w:val="0"/>
          <w:caps w:val="0"/>
          <w:smallCaps w:val="0"/>
          <w:noProof/>
          <w:sz w:val="22"/>
          <w:szCs w:val="22"/>
          <w:lang w:val="en-US"/>
        </w:rPr>
        <w:t xml:space="preserve">Bu yapı, projelerin belli standartlara göre onaylanmasını, doğrulanmasını ve kayıt altına alınmasını sağlayacak şekilde kurgulanmaktadır. </w:t>
      </w:r>
    </w:p>
    <w:p w:rsidRPr="00F43810" w:rsidR="00702855" w:rsidP="058DFE7F" w:rsidRDefault="008E2F2E" w14:paraId="66F285CE" w14:textId="2FF3DD64">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1"/>
          <w:bCs w:val="1"/>
          <w:i w:val="0"/>
          <w:iCs w:val="0"/>
          <w:caps w:val="0"/>
          <w:smallCaps w:val="0"/>
          <w:noProof/>
          <w:sz w:val="22"/>
          <w:szCs w:val="22"/>
          <w:lang w:val="en-US"/>
        </w:rPr>
        <w:t>Karbon Kredileri Nerelerde Kullanılabilecek?</w:t>
      </w:r>
      <w:r w:rsidRPr="058DFE7F" w:rsidR="1278A765">
        <w:rPr>
          <w:rFonts w:ascii="Arial" w:hAnsi="Arial" w:eastAsia="Arial" w:cs="Arial"/>
          <w:b w:val="0"/>
          <w:bCs w:val="0"/>
          <w:i w:val="0"/>
          <w:iCs w:val="0"/>
          <w:caps w:val="0"/>
          <w:smallCaps w:val="0"/>
          <w:noProof/>
          <w:sz w:val="22"/>
          <w:szCs w:val="22"/>
          <w:lang w:val="en-US"/>
        </w:rPr>
        <w:t xml:space="preserve"> </w:t>
      </w:r>
    </w:p>
    <w:p w:rsidRPr="00F43810" w:rsidR="00702855" w:rsidP="058DFE7F" w:rsidRDefault="008E2F2E" w14:paraId="188B1502" w14:textId="657627DB">
      <w:pPr>
        <w:pStyle w:val="Normal"/>
        <w:numPr>
          <w:ilvl w:val="0"/>
          <w:numId w:val="29"/>
        </w:numPr>
        <w:spacing w:line="276" w:lineRule="auto"/>
        <w:jc w:val="both"/>
        <w:rPr>
          <w:rFonts w:ascii="Arial" w:hAnsi="Arial" w:eastAsia="Arial" w:cs="Arial"/>
          <w:noProof/>
          <w:sz w:val="22"/>
          <w:szCs w:val="22"/>
          <w:lang w:val="en-US"/>
        </w:rPr>
      </w:pPr>
      <w:r w:rsidRPr="058DFE7F" w:rsidR="1278A765">
        <w:rPr>
          <w:rFonts w:ascii="Arial" w:hAnsi="Arial" w:eastAsia="Arial" w:cs="Arial"/>
          <w:b w:val="1"/>
          <w:bCs w:val="1"/>
          <w:noProof/>
          <w:sz w:val="22"/>
          <w:szCs w:val="22"/>
          <w:lang w:val="en-US"/>
        </w:rPr>
        <w:t>Türkiye Emisyon Ticaret Sistemi</w:t>
      </w:r>
      <w:r w:rsidRPr="058DFE7F" w:rsidR="1278A765">
        <w:rPr>
          <w:rFonts w:ascii="Arial" w:hAnsi="Arial" w:eastAsia="Arial" w:cs="Arial"/>
          <w:noProof/>
          <w:sz w:val="22"/>
          <w:szCs w:val="22"/>
          <w:lang w:val="en-US"/>
        </w:rPr>
        <w:t xml:space="preserve"> kapsamında yerine getirilmesi gereken yükümlülüklerde </w:t>
      </w:r>
    </w:p>
    <w:p w:rsidRPr="00F43810" w:rsidR="00702855" w:rsidP="058DFE7F" w:rsidRDefault="008E2F2E" w14:paraId="37ED3AAA" w14:textId="0247CFDE">
      <w:pPr>
        <w:pStyle w:val="Normal"/>
        <w:numPr>
          <w:ilvl w:val="0"/>
          <w:numId w:val="30"/>
        </w:numPr>
        <w:spacing w:line="276" w:lineRule="auto"/>
        <w:jc w:val="both"/>
        <w:rPr>
          <w:rFonts w:ascii="Arial" w:hAnsi="Arial" w:eastAsia="Arial" w:cs="Arial"/>
          <w:noProof/>
          <w:sz w:val="22"/>
          <w:szCs w:val="22"/>
          <w:lang w:val="en-US"/>
        </w:rPr>
      </w:pPr>
      <w:r w:rsidRPr="058DFE7F" w:rsidR="1278A765">
        <w:rPr>
          <w:rFonts w:ascii="Arial" w:hAnsi="Arial" w:eastAsia="Arial" w:cs="Arial"/>
          <w:b w:val="1"/>
          <w:bCs w:val="1"/>
          <w:noProof/>
          <w:sz w:val="22"/>
          <w:szCs w:val="22"/>
          <w:lang w:val="en-US"/>
        </w:rPr>
        <w:t>Gönüllü taahhütlerde</w:t>
      </w:r>
      <w:r w:rsidRPr="058DFE7F" w:rsidR="1278A765">
        <w:rPr>
          <w:rFonts w:ascii="Arial" w:hAnsi="Arial" w:eastAsia="Arial" w:cs="Arial"/>
          <w:noProof/>
          <w:sz w:val="22"/>
          <w:szCs w:val="22"/>
          <w:lang w:val="en-US"/>
        </w:rPr>
        <w:t xml:space="preserve">, yani çevresel hedefler koyan şirketlerin karbon ayak izini dengeleme süreçlerinde </w:t>
      </w:r>
    </w:p>
    <w:p w:rsidRPr="00F43810" w:rsidR="00702855" w:rsidP="058DFE7F" w:rsidRDefault="008E2F2E" w14:paraId="46D74C0A" w14:textId="0DE515CD">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1"/>
          <w:bCs w:val="1"/>
          <w:i w:val="0"/>
          <w:iCs w:val="0"/>
          <w:caps w:val="0"/>
          <w:smallCaps w:val="0"/>
          <w:noProof/>
          <w:sz w:val="22"/>
          <w:szCs w:val="22"/>
          <w:lang w:val="en-US"/>
        </w:rPr>
        <w:t>Uluslararası Piyasalarda Geçerli Olacak mı?</w:t>
      </w:r>
      <w:r w:rsidRPr="058DFE7F" w:rsidR="1278A765">
        <w:rPr>
          <w:rFonts w:ascii="Arial" w:hAnsi="Arial" w:eastAsia="Arial" w:cs="Arial"/>
          <w:b w:val="0"/>
          <w:bCs w:val="0"/>
          <w:i w:val="0"/>
          <w:iCs w:val="0"/>
          <w:caps w:val="0"/>
          <w:smallCaps w:val="0"/>
          <w:noProof/>
          <w:sz w:val="22"/>
          <w:szCs w:val="22"/>
          <w:lang w:val="en-US"/>
        </w:rPr>
        <w:t xml:space="preserve"> </w:t>
      </w:r>
    </w:p>
    <w:p w:rsidRPr="00F43810" w:rsidR="00702855" w:rsidP="058DFE7F" w:rsidRDefault="008E2F2E" w14:paraId="5E2D02C1" w14:textId="6D7D6923">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0"/>
          <w:bCs w:val="0"/>
          <w:i w:val="0"/>
          <w:iCs w:val="0"/>
          <w:caps w:val="0"/>
          <w:smallCaps w:val="0"/>
          <w:noProof/>
          <w:sz w:val="22"/>
          <w:szCs w:val="22"/>
          <w:lang w:val="en-US"/>
        </w:rPr>
        <w:t xml:space="preserve">Evet, taslak düzenlemeye göre Türkiye’de üretilecek karbon kredileri, bazı şartlar yerine getirildiğinde uluslararası piyasalarda da kullanılabilecek. Bunun için: </w:t>
      </w:r>
    </w:p>
    <w:p w:rsidRPr="00F43810" w:rsidR="00702855" w:rsidP="058DFE7F" w:rsidRDefault="008E2F2E" w14:paraId="622C906F" w14:textId="532AB72B">
      <w:pPr>
        <w:pStyle w:val="Normal"/>
        <w:numPr>
          <w:ilvl w:val="0"/>
          <w:numId w:val="31"/>
        </w:numPr>
        <w:spacing w:line="276" w:lineRule="auto"/>
        <w:jc w:val="both"/>
        <w:rPr>
          <w:rFonts w:ascii="Arial" w:hAnsi="Arial" w:eastAsia="Arial" w:cs="Arial"/>
          <w:noProof/>
          <w:sz w:val="22"/>
          <w:szCs w:val="22"/>
          <w:lang w:val="en-US"/>
        </w:rPr>
      </w:pPr>
      <w:r w:rsidRPr="058DFE7F" w:rsidR="1278A765">
        <w:rPr>
          <w:rFonts w:ascii="Arial" w:hAnsi="Arial" w:eastAsia="Arial" w:cs="Arial"/>
          <w:noProof/>
          <w:sz w:val="22"/>
          <w:szCs w:val="22"/>
          <w:lang w:val="en-US"/>
        </w:rPr>
        <w:t xml:space="preserve">İklim Değişikliği Başkanlığı tarafından yetkilendirme belgesi alınmalıdır </w:t>
      </w:r>
    </w:p>
    <w:p w:rsidRPr="00F43810" w:rsidR="00702855" w:rsidP="058DFE7F" w:rsidRDefault="008E2F2E" w14:paraId="0383C6FC" w14:textId="199D1456">
      <w:pPr>
        <w:pStyle w:val="Normal"/>
        <w:numPr>
          <w:ilvl w:val="0"/>
          <w:numId w:val="32"/>
        </w:numPr>
        <w:spacing w:line="276" w:lineRule="auto"/>
        <w:jc w:val="both"/>
        <w:rPr>
          <w:rFonts w:ascii="Arial" w:hAnsi="Arial" w:eastAsia="Arial" w:cs="Arial"/>
          <w:noProof/>
          <w:sz w:val="22"/>
          <w:szCs w:val="22"/>
          <w:lang w:val="en-US"/>
        </w:rPr>
      </w:pPr>
      <w:r w:rsidRPr="058DFE7F" w:rsidR="1278A765">
        <w:rPr>
          <w:rFonts w:ascii="Arial" w:hAnsi="Arial" w:eastAsia="Arial" w:cs="Arial"/>
          <w:noProof/>
          <w:sz w:val="22"/>
          <w:szCs w:val="22"/>
          <w:lang w:val="en-US"/>
        </w:rPr>
        <w:t xml:space="preserve">Karbon kredilerinin çifte sayım ilkesine aykırı olmayacak şekilde düzenleme yapılmalıdır </w:t>
      </w:r>
    </w:p>
    <w:p w:rsidRPr="00F43810" w:rsidR="00702855" w:rsidP="058DFE7F" w:rsidRDefault="008E2F2E" w14:paraId="1DCC8B56" w14:textId="1AE1A4D2">
      <w:pPr>
        <w:spacing w:line="276" w:lineRule="auto"/>
        <w:jc w:val="both"/>
        <w:rPr>
          <w:rFonts w:ascii="Arial" w:hAnsi="Arial" w:eastAsia="Arial" w:cs="Arial"/>
          <w:b w:val="0"/>
          <w:bCs w:val="0"/>
          <w:i w:val="0"/>
          <w:iCs w:val="0"/>
          <w:caps w:val="0"/>
          <w:smallCaps w:val="0"/>
          <w:noProof/>
          <w:sz w:val="22"/>
          <w:szCs w:val="22"/>
          <w:lang w:val="en-US"/>
        </w:rPr>
      </w:pPr>
      <w:r w:rsidRPr="058DFE7F" w:rsidR="1278A765">
        <w:rPr>
          <w:rFonts w:ascii="Arial" w:hAnsi="Arial" w:eastAsia="Arial" w:cs="Arial"/>
          <w:b w:val="0"/>
          <w:bCs w:val="0"/>
          <w:i w:val="0"/>
          <w:iCs w:val="0"/>
          <w:caps w:val="0"/>
          <w:smallCaps w:val="0"/>
          <w:noProof/>
          <w:sz w:val="22"/>
          <w:szCs w:val="22"/>
          <w:lang w:val="en-US"/>
        </w:rPr>
        <w:t>Türkiye Karbon Denkleştirme Sistemi’nin yürürlüğe girmesiyle birlikte, emisyon azaltım ve giderim faaliyetlerinin kayıt altına alınması, doğrulanması ve karbon kredisi olarak tescillenmesi için ulusal bir çerçeve oluşturulacaktır. Bu sistem, hem Türkiye Emisyon Ticaret Sistemi kapsamında yapılacak denkleştirme işlemlerinde hem de gönüllü taahhütlerin yerine getirilmesinde kullanılmak üzere karbon kredilerinin üretilmesini ve takip edilmesini sağlayacaktır.</w:t>
      </w:r>
    </w:p>
    <w:p w:rsidRPr="00F43810" w:rsidR="00702855" w:rsidP="058DFE7F" w:rsidRDefault="008E2F2E" w14:paraId="43B0140C" w14:textId="26FFB6EF">
      <w:pPr>
        <w:spacing w:line="276" w:lineRule="auto"/>
        <w:jc w:val="both"/>
        <w:rPr>
          <w:rFonts w:ascii="Arial" w:hAnsi="Arial" w:eastAsia="Arial" w:cs="Arial"/>
          <w:sz w:val="22"/>
          <w:szCs w:val="22"/>
        </w:rPr>
      </w:pPr>
    </w:p>
    <w:sectPr w:rsidRPr="00F43810" w:rsidR="0070285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1">
    <w:nsid w:val="21b76b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41777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7a9d79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4aacdc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24099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210a0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7d767d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c9609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dfdda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62b70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abd8e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5A76A1"/>
    <w:multiLevelType w:val="multilevel"/>
    <w:tmpl w:val="EEBA0F8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05C344E6"/>
    <w:multiLevelType w:val="multilevel"/>
    <w:tmpl w:val="EB60400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2" w15:restartNumberingAfterBreak="0">
    <w:nsid w:val="15CF4FD7"/>
    <w:multiLevelType w:val="multilevel"/>
    <w:tmpl w:val="801AE1C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475C7D"/>
    <w:multiLevelType w:val="multilevel"/>
    <w:tmpl w:val="FC96CD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7E3D20"/>
    <w:multiLevelType w:val="multilevel"/>
    <w:tmpl w:val="57E41D2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231B65"/>
    <w:multiLevelType w:val="hybridMultilevel"/>
    <w:tmpl w:val="E926ECA6"/>
    <w:lvl w:ilvl="0" w:tplc="2F483FA4">
      <w:numFmt w:val="bullet"/>
      <w:lvlText w:val=""/>
      <w:lvlJc w:val="left"/>
      <w:pPr>
        <w:ind w:left="720" w:hanging="360"/>
      </w:pPr>
      <w:rPr>
        <w:rFonts w:hint="default" w:ascii="Symbol" w:hAnsi="Symbol" w:eastAsia="Cambria" w:cs="Arial"/>
      </w:rPr>
    </w:lvl>
    <w:lvl w:ilvl="1" w:tplc="041F0003">
      <w:start w:val="1"/>
      <w:numFmt w:val="bullet"/>
      <w:lvlText w:val="o"/>
      <w:lvlJc w:val="left"/>
      <w:pPr>
        <w:ind w:left="1440" w:hanging="360"/>
      </w:pPr>
      <w:rPr>
        <w:rFonts w:hint="default" w:ascii="Courier New" w:hAnsi="Courier New" w:cs="Courier New"/>
      </w:rPr>
    </w:lvl>
    <w:lvl w:ilvl="2" w:tplc="041F0005">
      <w:start w:val="1"/>
      <w:numFmt w:val="bullet"/>
      <w:lvlText w:val=""/>
      <w:lvlJc w:val="left"/>
      <w:pPr>
        <w:ind w:left="2160" w:hanging="360"/>
      </w:pPr>
      <w:rPr>
        <w:rFonts w:hint="default" w:ascii="Wingdings" w:hAnsi="Wingdings"/>
      </w:rPr>
    </w:lvl>
    <w:lvl w:ilvl="3" w:tplc="041F0001">
      <w:start w:val="1"/>
      <w:numFmt w:val="bullet"/>
      <w:lvlText w:val=""/>
      <w:lvlJc w:val="left"/>
      <w:pPr>
        <w:ind w:left="2880" w:hanging="360"/>
      </w:pPr>
      <w:rPr>
        <w:rFonts w:hint="default" w:ascii="Symbol" w:hAnsi="Symbol"/>
      </w:rPr>
    </w:lvl>
    <w:lvl w:ilvl="4" w:tplc="041F0003">
      <w:start w:val="1"/>
      <w:numFmt w:val="bullet"/>
      <w:lvlText w:val="o"/>
      <w:lvlJc w:val="left"/>
      <w:pPr>
        <w:ind w:left="3600" w:hanging="360"/>
      </w:pPr>
      <w:rPr>
        <w:rFonts w:hint="default" w:ascii="Courier New" w:hAnsi="Courier New" w:cs="Courier New"/>
      </w:rPr>
    </w:lvl>
    <w:lvl w:ilvl="5" w:tplc="041F0005">
      <w:start w:val="1"/>
      <w:numFmt w:val="bullet"/>
      <w:lvlText w:val=""/>
      <w:lvlJc w:val="left"/>
      <w:pPr>
        <w:ind w:left="4320" w:hanging="360"/>
      </w:pPr>
      <w:rPr>
        <w:rFonts w:hint="default" w:ascii="Wingdings" w:hAnsi="Wingdings"/>
      </w:rPr>
    </w:lvl>
    <w:lvl w:ilvl="6" w:tplc="041F0001">
      <w:start w:val="1"/>
      <w:numFmt w:val="bullet"/>
      <w:lvlText w:val=""/>
      <w:lvlJc w:val="left"/>
      <w:pPr>
        <w:ind w:left="5040" w:hanging="360"/>
      </w:pPr>
      <w:rPr>
        <w:rFonts w:hint="default" w:ascii="Symbol" w:hAnsi="Symbol"/>
      </w:rPr>
    </w:lvl>
    <w:lvl w:ilvl="7" w:tplc="041F0003">
      <w:start w:val="1"/>
      <w:numFmt w:val="bullet"/>
      <w:lvlText w:val="o"/>
      <w:lvlJc w:val="left"/>
      <w:pPr>
        <w:ind w:left="5760" w:hanging="360"/>
      </w:pPr>
      <w:rPr>
        <w:rFonts w:hint="default" w:ascii="Courier New" w:hAnsi="Courier New" w:cs="Courier New"/>
      </w:rPr>
    </w:lvl>
    <w:lvl w:ilvl="8" w:tplc="041F0005">
      <w:start w:val="1"/>
      <w:numFmt w:val="bullet"/>
      <w:lvlText w:val=""/>
      <w:lvlJc w:val="left"/>
      <w:pPr>
        <w:ind w:left="6480" w:hanging="360"/>
      </w:pPr>
      <w:rPr>
        <w:rFonts w:hint="default" w:ascii="Wingdings" w:hAnsi="Wingdings"/>
      </w:rPr>
    </w:lvl>
  </w:abstractNum>
  <w:abstractNum w:abstractNumId="6" w15:restartNumberingAfterBreak="0">
    <w:nsid w:val="31CA58C2"/>
    <w:multiLevelType w:val="multilevel"/>
    <w:tmpl w:val="93A22E1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320B7ED7"/>
    <w:multiLevelType w:val="multilevel"/>
    <w:tmpl w:val="C9626E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9104C6"/>
    <w:multiLevelType w:val="multilevel"/>
    <w:tmpl w:val="9FF62D4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955C40"/>
    <w:multiLevelType w:val="multilevel"/>
    <w:tmpl w:val="740C84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CB28DE"/>
    <w:multiLevelType w:val="multilevel"/>
    <w:tmpl w:val="F9E42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5B413D"/>
    <w:multiLevelType w:val="multilevel"/>
    <w:tmpl w:val="27949C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9D3E56"/>
    <w:multiLevelType w:val="multilevel"/>
    <w:tmpl w:val="58AEA1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5D561A"/>
    <w:multiLevelType w:val="multilevel"/>
    <w:tmpl w:val="BC8831F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 w15:restartNumberingAfterBreak="0">
    <w:nsid w:val="4FAF293E"/>
    <w:multiLevelType w:val="multilevel"/>
    <w:tmpl w:val="CCE641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743BC4"/>
    <w:multiLevelType w:val="multilevel"/>
    <w:tmpl w:val="3CD8B0C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64043D9A"/>
    <w:multiLevelType w:val="multilevel"/>
    <w:tmpl w:val="035416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6D82C9D"/>
    <w:multiLevelType w:val="multilevel"/>
    <w:tmpl w:val="98BA98C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83B602D"/>
    <w:multiLevelType w:val="hybridMultilevel"/>
    <w:tmpl w:val="3F0651B2"/>
    <w:lvl w:ilvl="0" w:tplc="9C5A9798">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708909C7"/>
    <w:multiLevelType w:val="multilevel"/>
    <w:tmpl w:val="7CECD2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187217"/>
    <w:multiLevelType w:val="multilevel"/>
    <w:tmpl w:val="6722219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 w16cid:durableId="903292073">
    <w:abstractNumId w:val="10"/>
  </w:num>
  <w:num w:numId="2" w16cid:durableId="1592002837">
    <w:abstractNumId w:val="7"/>
  </w:num>
  <w:num w:numId="3" w16cid:durableId="500312961">
    <w:abstractNumId w:val="3"/>
  </w:num>
  <w:num w:numId="4" w16cid:durableId="1485782101">
    <w:abstractNumId w:val="9"/>
  </w:num>
  <w:num w:numId="5" w16cid:durableId="485436703">
    <w:abstractNumId w:val="14"/>
  </w:num>
  <w:num w:numId="6" w16cid:durableId="1662734692">
    <w:abstractNumId w:val="11"/>
  </w:num>
  <w:num w:numId="7" w16cid:durableId="2118789668">
    <w:abstractNumId w:val="12"/>
  </w:num>
  <w:num w:numId="8" w16cid:durableId="1603688521">
    <w:abstractNumId w:val="19"/>
  </w:num>
  <w:num w:numId="9" w16cid:durableId="1904636398">
    <w:abstractNumId w:val="8"/>
  </w:num>
  <w:num w:numId="10" w16cid:durableId="590360242">
    <w:abstractNumId w:val="2"/>
  </w:num>
  <w:num w:numId="11" w16cid:durableId="440341156">
    <w:abstractNumId w:val="4"/>
  </w:num>
  <w:num w:numId="12" w16cid:durableId="1845976169">
    <w:abstractNumId w:val="13"/>
  </w:num>
  <w:num w:numId="13" w16cid:durableId="1782988754">
    <w:abstractNumId w:val="0"/>
  </w:num>
  <w:num w:numId="14" w16cid:durableId="1035042233">
    <w:abstractNumId w:val="6"/>
  </w:num>
  <w:num w:numId="15" w16cid:durableId="245766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2847191">
    <w:abstractNumId w:val="20"/>
  </w:num>
  <w:num w:numId="17" w16cid:durableId="1938978525">
    <w:abstractNumId w:val="5"/>
  </w:num>
  <w:num w:numId="18" w16cid:durableId="289242794">
    <w:abstractNumId w:val="15"/>
  </w:num>
  <w:num w:numId="19" w16cid:durableId="2123449310">
    <w:abstractNumId w:val="16"/>
  </w:num>
  <w:num w:numId="20" w16cid:durableId="6810080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01444792">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AC3"/>
    <w:rsid w:val="00093897"/>
    <w:rsid w:val="00112119"/>
    <w:rsid w:val="001145C9"/>
    <w:rsid w:val="002F1091"/>
    <w:rsid w:val="00371403"/>
    <w:rsid w:val="00702855"/>
    <w:rsid w:val="00844EDB"/>
    <w:rsid w:val="008E2F2E"/>
    <w:rsid w:val="00901FB0"/>
    <w:rsid w:val="00932059"/>
    <w:rsid w:val="00A063BB"/>
    <w:rsid w:val="00C07255"/>
    <w:rsid w:val="00F36B53"/>
    <w:rsid w:val="00F43810"/>
    <w:rsid w:val="00FD2AC3"/>
    <w:rsid w:val="04C06E81"/>
    <w:rsid w:val="058DFE7F"/>
    <w:rsid w:val="07BEA0BA"/>
    <w:rsid w:val="0E251858"/>
    <w:rsid w:val="0FE3B975"/>
    <w:rsid w:val="1086E200"/>
    <w:rsid w:val="1278A765"/>
    <w:rsid w:val="16C48E9E"/>
    <w:rsid w:val="1708BCE0"/>
    <w:rsid w:val="1F469328"/>
    <w:rsid w:val="229202AE"/>
    <w:rsid w:val="23508D6A"/>
    <w:rsid w:val="23FFBEA0"/>
    <w:rsid w:val="2E8A9CE9"/>
    <w:rsid w:val="3200BD66"/>
    <w:rsid w:val="45280288"/>
    <w:rsid w:val="454FE74D"/>
    <w:rsid w:val="4BE9ABCD"/>
    <w:rsid w:val="4C611BD5"/>
    <w:rsid w:val="55701923"/>
    <w:rsid w:val="5665D2D4"/>
    <w:rsid w:val="56782C2E"/>
    <w:rsid w:val="5C628170"/>
    <w:rsid w:val="5C790DC8"/>
    <w:rsid w:val="5E4B47BB"/>
    <w:rsid w:val="5FD936C7"/>
    <w:rsid w:val="64974B65"/>
    <w:rsid w:val="6663A580"/>
    <w:rsid w:val="69D3FB36"/>
    <w:rsid w:val="6AAD32A2"/>
    <w:rsid w:val="6FF916F5"/>
    <w:rsid w:val="77CA0AF3"/>
    <w:rsid w:val="79853DF5"/>
    <w:rsid w:val="7B275B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0EB7"/>
  <w15:chartTrackingRefBased/>
  <w15:docId w15:val="{05509111-BD20-49FE-8102-8BFEEE58FB9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noProof/>
      <w:lang w:val="en-US"/>
    </w:rPr>
  </w:style>
  <w:style w:type="paragraph" w:styleId="Balk1">
    <w:name w:val="heading 1"/>
    <w:basedOn w:val="Normal"/>
    <w:next w:val="Normal"/>
    <w:link w:val="Balk1Char"/>
    <w:uiPriority w:val="9"/>
    <w:qFormat/>
    <w:rsid w:val="00FD2AC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Balk2">
    <w:name w:val="heading 2"/>
    <w:basedOn w:val="Normal"/>
    <w:next w:val="Normal"/>
    <w:link w:val="Balk2Char"/>
    <w:uiPriority w:val="9"/>
    <w:unhideWhenUsed/>
    <w:qFormat/>
    <w:rsid w:val="00FD2AC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Balk3">
    <w:name w:val="heading 3"/>
    <w:basedOn w:val="Normal"/>
    <w:next w:val="Normal"/>
    <w:link w:val="Balk3Char"/>
    <w:uiPriority w:val="9"/>
    <w:unhideWhenUsed/>
    <w:qFormat/>
    <w:rsid w:val="00FD2AC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D2AC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D2AC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D2AC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D2AC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D2AC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D2AC3"/>
    <w:pPr>
      <w:keepNext/>
      <w:keepLines/>
      <w:spacing w:after="0"/>
      <w:outlineLvl w:val="8"/>
    </w:pPr>
    <w:rPr>
      <w:rFonts w:eastAsiaTheme="majorEastAsia" w:cstheme="majorBidi"/>
      <w:color w:val="272727" w:themeColor="text1" w:themeTint="D8"/>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character" w:styleId="Balk1Char" w:customStyle="1">
    <w:name w:val="Başlık 1 Char"/>
    <w:basedOn w:val="VarsaylanParagrafYazTipi"/>
    <w:link w:val="Balk1"/>
    <w:uiPriority w:val="9"/>
    <w:rsid w:val="00FD2AC3"/>
    <w:rPr>
      <w:rFonts w:asciiTheme="majorHAnsi" w:hAnsiTheme="majorHAnsi" w:eastAsiaTheme="majorEastAsia" w:cstheme="majorBidi"/>
      <w:noProof/>
      <w:color w:val="0F4761" w:themeColor="accent1" w:themeShade="BF"/>
      <w:sz w:val="40"/>
      <w:szCs w:val="40"/>
      <w:lang w:val="en-US"/>
    </w:rPr>
  </w:style>
  <w:style w:type="character" w:styleId="Balk2Char" w:customStyle="1">
    <w:name w:val="Başlık 2 Char"/>
    <w:basedOn w:val="VarsaylanParagrafYazTipi"/>
    <w:link w:val="Balk2"/>
    <w:uiPriority w:val="9"/>
    <w:rsid w:val="00FD2AC3"/>
    <w:rPr>
      <w:rFonts w:asciiTheme="majorHAnsi" w:hAnsiTheme="majorHAnsi" w:eastAsiaTheme="majorEastAsia" w:cstheme="majorBidi"/>
      <w:noProof/>
      <w:color w:val="0F4761" w:themeColor="accent1" w:themeShade="BF"/>
      <w:sz w:val="32"/>
      <w:szCs w:val="32"/>
      <w:lang w:val="en-US"/>
    </w:rPr>
  </w:style>
  <w:style w:type="character" w:styleId="Balk3Char" w:customStyle="1">
    <w:name w:val="Başlık 3 Char"/>
    <w:basedOn w:val="VarsaylanParagrafYazTipi"/>
    <w:link w:val="Balk3"/>
    <w:uiPriority w:val="9"/>
    <w:rsid w:val="00FD2AC3"/>
    <w:rPr>
      <w:rFonts w:eastAsiaTheme="majorEastAsia" w:cstheme="majorBidi"/>
      <w:noProof/>
      <w:color w:val="0F4761" w:themeColor="accent1" w:themeShade="BF"/>
      <w:sz w:val="28"/>
      <w:szCs w:val="28"/>
      <w:lang w:val="en-US"/>
    </w:rPr>
  </w:style>
  <w:style w:type="character" w:styleId="Balk4Char" w:customStyle="1">
    <w:name w:val="Başlık 4 Char"/>
    <w:basedOn w:val="VarsaylanParagrafYazTipi"/>
    <w:link w:val="Balk4"/>
    <w:uiPriority w:val="9"/>
    <w:semiHidden/>
    <w:rsid w:val="00FD2AC3"/>
    <w:rPr>
      <w:rFonts w:eastAsiaTheme="majorEastAsia" w:cstheme="majorBidi"/>
      <w:i/>
      <w:iCs/>
      <w:noProof/>
      <w:color w:val="0F4761" w:themeColor="accent1" w:themeShade="BF"/>
      <w:lang w:val="en-US"/>
    </w:rPr>
  </w:style>
  <w:style w:type="character" w:styleId="Balk5Char" w:customStyle="1">
    <w:name w:val="Başlık 5 Char"/>
    <w:basedOn w:val="VarsaylanParagrafYazTipi"/>
    <w:link w:val="Balk5"/>
    <w:uiPriority w:val="9"/>
    <w:semiHidden/>
    <w:rsid w:val="00FD2AC3"/>
    <w:rPr>
      <w:rFonts w:eastAsiaTheme="majorEastAsia" w:cstheme="majorBidi"/>
      <w:noProof/>
      <w:color w:val="0F4761" w:themeColor="accent1" w:themeShade="BF"/>
      <w:lang w:val="en-US"/>
    </w:rPr>
  </w:style>
  <w:style w:type="character" w:styleId="Balk6Char" w:customStyle="1">
    <w:name w:val="Başlık 6 Char"/>
    <w:basedOn w:val="VarsaylanParagrafYazTipi"/>
    <w:link w:val="Balk6"/>
    <w:uiPriority w:val="9"/>
    <w:semiHidden/>
    <w:rsid w:val="00FD2AC3"/>
    <w:rPr>
      <w:rFonts w:eastAsiaTheme="majorEastAsia" w:cstheme="majorBidi"/>
      <w:i/>
      <w:iCs/>
      <w:noProof/>
      <w:color w:val="595959" w:themeColor="text1" w:themeTint="A6"/>
      <w:lang w:val="en-US"/>
    </w:rPr>
  </w:style>
  <w:style w:type="character" w:styleId="Balk7Char" w:customStyle="1">
    <w:name w:val="Başlık 7 Char"/>
    <w:basedOn w:val="VarsaylanParagrafYazTipi"/>
    <w:link w:val="Balk7"/>
    <w:uiPriority w:val="9"/>
    <w:semiHidden/>
    <w:rsid w:val="00FD2AC3"/>
    <w:rPr>
      <w:rFonts w:eastAsiaTheme="majorEastAsia" w:cstheme="majorBidi"/>
      <w:noProof/>
      <w:color w:val="595959" w:themeColor="text1" w:themeTint="A6"/>
      <w:lang w:val="en-US"/>
    </w:rPr>
  </w:style>
  <w:style w:type="character" w:styleId="Balk8Char" w:customStyle="1">
    <w:name w:val="Başlık 8 Char"/>
    <w:basedOn w:val="VarsaylanParagrafYazTipi"/>
    <w:link w:val="Balk8"/>
    <w:uiPriority w:val="9"/>
    <w:semiHidden/>
    <w:rsid w:val="00FD2AC3"/>
    <w:rPr>
      <w:rFonts w:eastAsiaTheme="majorEastAsia" w:cstheme="majorBidi"/>
      <w:i/>
      <w:iCs/>
      <w:noProof/>
      <w:color w:val="272727" w:themeColor="text1" w:themeTint="D8"/>
      <w:lang w:val="en-US"/>
    </w:rPr>
  </w:style>
  <w:style w:type="character" w:styleId="Balk9Char" w:customStyle="1">
    <w:name w:val="Başlık 9 Char"/>
    <w:basedOn w:val="VarsaylanParagrafYazTipi"/>
    <w:link w:val="Balk9"/>
    <w:uiPriority w:val="9"/>
    <w:semiHidden/>
    <w:rsid w:val="00FD2AC3"/>
    <w:rPr>
      <w:rFonts w:eastAsiaTheme="majorEastAsia" w:cstheme="majorBidi"/>
      <w:noProof/>
      <w:color w:val="272727" w:themeColor="text1" w:themeTint="D8"/>
      <w:lang w:val="en-US"/>
    </w:rPr>
  </w:style>
  <w:style w:type="paragraph" w:styleId="KonuBal">
    <w:name w:val="Title"/>
    <w:basedOn w:val="Normal"/>
    <w:next w:val="Normal"/>
    <w:link w:val="KonuBalChar"/>
    <w:uiPriority w:val="10"/>
    <w:qFormat/>
    <w:rsid w:val="00FD2AC3"/>
    <w:pPr>
      <w:spacing w:after="80" w:line="240" w:lineRule="auto"/>
      <w:contextualSpacing/>
    </w:pPr>
    <w:rPr>
      <w:rFonts w:asciiTheme="majorHAnsi" w:hAnsiTheme="majorHAnsi" w:eastAsiaTheme="majorEastAsia" w:cstheme="majorBidi"/>
      <w:spacing w:val="-10"/>
      <w:kern w:val="28"/>
      <w:sz w:val="56"/>
      <w:szCs w:val="56"/>
    </w:rPr>
  </w:style>
  <w:style w:type="character" w:styleId="KonuBalChar" w:customStyle="1">
    <w:name w:val="Konu Başlığı Char"/>
    <w:basedOn w:val="VarsaylanParagrafYazTipi"/>
    <w:link w:val="KonuBal"/>
    <w:uiPriority w:val="10"/>
    <w:rsid w:val="00FD2AC3"/>
    <w:rPr>
      <w:rFonts w:asciiTheme="majorHAnsi" w:hAnsiTheme="majorHAnsi" w:eastAsiaTheme="majorEastAsia" w:cstheme="majorBidi"/>
      <w:noProof/>
      <w:spacing w:val="-10"/>
      <w:kern w:val="28"/>
      <w:sz w:val="56"/>
      <w:szCs w:val="56"/>
      <w:lang w:val="en-US"/>
    </w:rPr>
  </w:style>
  <w:style w:type="paragraph" w:styleId="Altyaz">
    <w:name w:val="Subtitle"/>
    <w:basedOn w:val="Normal"/>
    <w:next w:val="Normal"/>
    <w:link w:val="AltyazChar"/>
    <w:uiPriority w:val="11"/>
    <w:qFormat/>
    <w:rsid w:val="00FD2AC3"/>
    <w:pPr>
      <w:numPr>
        <w:ilvl w:val="1"/>
      </w:numPr>
    </w:pPr>
    <w:rPr>
      <w:rFonts w:eastAsiaTheme="majorEastAsia" w:cstheme="majorBidi"/>
      <w:color w:val="595959" w:themeColor="text1" w:themeTint="A6"/>
      <w:spacing w:val="15"/>
      <w:sz w:val="28"/>
      <w:szCs w:val="28"/>
    </w:rPr>
  </w:style>
  <w:style w:type="character" w:styleId="AltyazChar" w:customStyle="1">
    <w:name w:val="Altyazı Char"/>
    <w:basedOn w:val="VarsaylanParagrafYazTipi"/>
    <w:link w:val="Altyaz"/>
    <w:uiPriority w:val="11"/>
    <w:rsid w:val="00FD2AC3"/>
    <w:rPr>
      <w:rFonts w:eastAsiaTheme="majorEastAsia" w:cstheme="majorBidi"/>
      <w:noProof/>
      <w:color w:val="595959" w:themeColor="text1" w:themeTint="A6"/>
      <w:spacing w:val="15"/>
      <w:sz w:val="28"/>
      <w:szCs w:val="28"/>
      <w:lang w:val="en-US"/>
    </w:rPr>
  </w:style>
  <w:style w:type="paragraph" w:styleId="Alnt">
    <w:name w:val="Quote"/>
    <w:basedOn w:val="Normal"/>
    <w:next w:val="Normal"/>
    <w:link w:val="AlntChar"/>
    <w:uiPriority w:val="29"/>
    <w:qFormat/>
    <w:rsid w:val="00FD2AC3"/>
    <w:pPr>
      <w:spacing w:before="160"/>
      <w:jc w:val="center"/>
    </w:pPr>
    <w:rPr>
      <w:i/>
      <w:iCs/>
      <w:color w:val="404040" w:themeColor="text1" w:themeTint="BF"/>
    </w:rPr>
  </w:style>
  <w:style w:type="character" w:styleId="AlntChar" w:customStyle="1">
    <w:name w:val="Alıntı Char"/>
    <w:basedOn w:val="VarsaylanParagrafYazTipi"/>
    <w:link w:val="Alnt"/>
    <w:uiPriority w:val="29"/>
    <w:rsid w:val="00FD2AC3"/>
    <w:rPr>
      <w:i/>
      <w:iCs/>
      <w:noProof/>
      <w:color w:val="404040" w:themeColor="text1" w:themeTint="BF"/>
      <w:lang w:val="en-US"/>
    </w:rPr>
  </w:style>
  <w:style w:type="paragraph" w:styleId="ListeParagraf">
    <w:name w:val="List Paragraph"/>
    <w:basedOn w:val="Normal"/>
    <w:uiPriority w:val="34"/>
    <w:qFormat/>
    <w:rsid w:val="00FD2AC3"/>
    <w:pPr>
      <w:ind w:left="720"/>
      <w:contextualSpacing/>
    </w:pPr>
  </w:style>
  <w:style w:type="character" w:styleId="GlVurgulama">
    <w:name w:val="Intense Emphasis"/>
    <w:basedOn w:val="VarsaylanParagrafYazTipi"/>
    <w:uiPriority w:val="21"/>
    <w:qFormat/>
    <w:rsid w:val="00FD2AC3"/>
    <w:rPr>
      <w:i/>
      <w:iCs/>
      <w:color w:val="0F4761" w:themeColor="accent1" w:themeShade="BF"/>
    </w:rPr>
  </w:style>
  <w:style w:type="paragraph" w:styleId="GlAlnt">
    <w:name w:val="Intense Quote"/>
    <w:basedOn w:val="Normal"/>
    <w:next w:val="Normal"/>
    <w:link w:val="GlAlntChar"/>
    <w:uiPriority w:val="30"/>
    <w:qFormat/>
    <w:rsid w:val="00FD2AC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GlAlntChar" w:customStyle="1">
    <w:name w:val="Güçlü Alıntı Char"/>
    <w:basedOn w:val="VarsaylanParagrafYazTipi"/>
    <w:link w:val="GlAlnt"/>
    <w:uiPriority w:val="30"/>
    <w:rsid w:val="00FD2AC3"/>
    <w:rPr>
      <w:i/>
      <w:iCs/>
      <w:noProof/>
      <w:color w:val="0F4761" w:themeColor="accent1" w:themeShade="BF"/>
      <w:lang w:val="en-US"/>
    </w:rPr>
  </w:style>
  <w:style w:type="character" w:styleId="GlBavuru">
    <w:name w:val="Intense Reference"/>
    <w:basedOn w:val="VarsaylanParagrafYazTipi"/>
    <w:uiPriority w:val="32"/>
    <w:qFormat/>
    <w:rsid w:val="00FD2AC3"/>
    <w:rPr>
      <w:b/>
      <w:bCs/>
      <w:smallCaps/>
      <w:color w:val="0F4761" w:themeColor="accent1" w:themeShade="BF"/>
      <w:spacing w:val="5"/>
    </w:rPr>
  </w:style>
  <w:style w:type="paragraph" w:styleId="paragraph" w:customStyle="1">
    <w:name w:val="paragraph"/>
    <w:basedOn w:val="Normal"/>
    <w:rsid w:val="00844EDB"/>
    <w:pPr>
      <w:spacing w:before="100" w:beforeAutospacing="1" w:after="100" w:afterAutospacing="1" w:line="240" w:lineRule="auto"/>
    </w:pPr>
    <w:rPr>
      <w:rFonts w:ascii="Times New Roman" w:hAnsi="Times New Roman" w:eastAsia="Times New Roman" w:cs="Times New Roman"/>
      <w:noProof w:val="0"/>
      <w:kern w:val="0"/>
      <w:sz w:val="24"/>
      <w:szCs w:val="24"/>
      <w:lang w:val="tr-TR" w:eastAsia="tr-TR"/>
      <w14:ligatures w14:val="none"/>
    </w:rPr>
  </w:style>
  <w:style w:type="character" w:styleId="normaltextrun" w:customStyle="1">
    <w:name w:val="normaltextrun"/>
    <w:basedOn w:val="VarsaylanParagrafYazTipi"/>
    <w:rsid w:val="00844EDB"/>
  </w:style>
  <w:style w:type="character" w:styleId="eop" w:customStyle="1">
    <w:name w:val="eop"/>
    <w:basedOn w:val="VarsaylanParagrafYazTipi"/>
    <w:rsid w:val="00844EDB"/>
  </w:style>
  <w:style w:type="paragraph" w:styleId="ember-view" w:customStyle="1">
    <w:name w:val="ember-view"/>
    <w:basedOn w:val="Normal"/>
    <w:rsid w:val="00112119"/>
    <w:pPr>
      <w:spacing w:before="100" w:beforeAutospacing="1" w:after="100" w:afterAutospacing="1" w:line="240" w:lineRule="auto"/>
    </w:pPr>
    <w:rPr>
      <w:rFonts w:ascii="Times New Roman" w:hAnsi="Times New Roman" w:eastAsia="Times New Roman" w:cs="Times New Roman"/>
      <w:noProof w:val="0"/>
      <w:kern w:val="0"/>
      <w:sz w:val="24"/>
      <w:szCs w:val="24"/>
      <w:lang w:val="tr-TR" w:eastAsia="tr-TR"/>
      <w14:ligatures w14:val="none"/>
    </w:rPr>
  </w:style>
  <w:style w:type="character" w:styleId="Gl">
    <w:name w:val="Strong"/>
    <w:basedOn w:val="VarsaylanParagrafYazTipi"/>
    <w:uiPriority w:val="22"/>
    <w:qFormat/>
    <w:rsid w:val="00112119"/>
    <w:rPr>
      <w:b/>
      <w:bCs/>
    </w:rPr>
  </w:style>
  <w:style w:type="paragraph" w:styleId="NormalWeb">
    <w:name w:val="Normal (Web)"/>
    <w:basedOn w:val="Normal"/>
    <w:uiPriority w:val="99"/>
    <w:semiHidden/>
    <w:unhideWhenUsed/>
    <w:rsid w:val="00112119"/>
    <w:pPr>
      <w:spacing w:before="100" w:beforeAutospacing="1" w:after="100" w:afterAutospacing="1" w:line="240" w:lineRule="auto"/>
    </w:pPr>
    <w:rPr>
      <w:rFonts w:ascii="Times New Roman" w:hAnsi="Times New Roman" w:eastAsia="Times New Roman" w:cs="Times New Roman"/>
      <w:noProof w:val="0"/>
      <w:kern w:val="0"/>
      <w:sz w:val="24"/>
      <w:szCs w:val="24"/>
      <w:lang w:val="tr-TR" w:eastAsia="tr-TR"/>
      <w14:ligatures w14:val="none"/>
    </w:rPr>
  </w:style>
  <w:style w:type="character" w:styleId="scxw161093702" w:customStyle="1">
    <w:name w:val="scxw161093702"/>
    <w:basedOn w:val="VarsaylanParagrafYazTipi"/>
    <w:rsid w:val="00093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5EAAA238-3651-4D54-8C6A-0C2C213BEFF3}"/>
</file>

<file path=customXml/itemProps2.xml><?xml version="1.0" encoding="utf-8"?>
<ds:datastoreItem xmlns:ds="http://schemas.openxmlformats.org/officeDocument/2006/customXml" ds:itemID="{7C0E0462-D383-48A3-A836-2453854E2257}"/>
</file>

<file path=customXml/itemProps3.xml><?xml version="1.0" encoding="utf-8"?>
<ds:datastoreItem xmlns:ds="http://schemas.openxmlformats.org/officeDocument/2006/customXml" ds:itemID="{DDD21602-2D4B-4F81-B238-C98E18080A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EGE</dc:creator>
  <keywords/>
  <dc:description/>
  <lastModifiedBy>Ezgi  Oprukçu</lastModifiedBy>
  <revision>8</revision>
  <dcterms:created xsi:type="dcterms:W3CDTF">2026-04-17T14:45:00.0000000Z</dcterms:created>
  <dcterms:modified xsi:type="dcterms:W3CDTF">2026-05-08T13:04:52.8142363Z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y fmtid="{D5CDD505-2E9C-101B-9397-08002B2CF9AE}" pid="3" name="MediaServiceImageTags">
    <vt:lpwstr/>
  </property>
</Properties>
</file>