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F51BD90" wp14:paraId="7555FF6F" wp14:textId="438A4BC4">
      <w:pPr>
        <w:pStyle w:val="Normal"/>
        <w:jc w:val="both"/>
        <w:rPr>
          <w:noProof w:val="0"/>
          <w:sz w:val="22"/>
          <w:szCs w:val="22"/>
          <w:u w:val="single"/>
          <w:lang w:val="tr-TR"/>
        </w:rPr>
      </w:pPr>
      <w:r w:rsidRPr="6F51BD90" w:rsidR="643F5FC1">
        <w:rPr>
          <w:noProof w:val="0"/>
          <w:sz w:val="22"/>
          <w:szCs w:val="22"/>
          <w:u w:val="single"/>
          <w:lang w:val="tr-TR"/>
        </w:rPr>
        <w:t xml:space="preserve">Ege-Çakırca tarafından Haziran 2025- Mart 2026 tarihleri arasında “ESG ve Yeşil Dönüşüm Regülasyon, Finansman ve Uyum” konusuna ilişkin olarak kaleme alınan işbu yazılar, yalnızca genel bilgilendirme amacı taşımakta olup, herhangi bir şekilde hukuki görüş, mütalaa veya danışmanlık hizmeti teşkil etmemektedir. </w:t>
      </w:r>
    </w:p>
    <w:p xmlns:wp14="http://schemas.microsoft.com/office/word/2010/wordml" w:rsidP="6F51BD90" wp14:paraId="13776433" wp14:textId="60BE866F">
      <w:pPr>
        <w:pStyle w:val="Normal"/>
        <w:jc w:val="both"/>
        <w:rPr>
          <w:noProof w:val="0"/>
          <w:sz w:val="22"/>
          <w:szCs w:val="22"/>
          <w:u w:val="single"/>
          <w:lang w:val="tr-TR"/>
        </w:rPr>
      </w:pPr>
      <w:r w:rsidRPr="6F51BD90" w:rsidR="643F5FC1">
        <w:rPr>
          <w:noProof w:val="0"/>
          <w:sz w:val="22"/>
          <w:szCs w:val="22"/>
          <w:u w:val="single"/>
          <w:lang w:val="tr-TR"/>
        </w:rPr>
        <w:t xml:space="preserve">Bu içerikler, belirli bir somut olaya uygulanmak üzere hazırlanmadığından, avukat müvekkil ilişkisinin kurulmasına da yol açmaz. Metinlerde yer alan bilgi ve değerlendirmelerin güncelliği, doğruluğu veya belirli bir amaca uygunluğu konusunda açık ya da zımni herhangi bir taahhüt veya garanti verilmemektedir. </w:t>
      </w:r>
    </w:p>
    <w:p xmlns:wp14="http://schemas.microsoft.com/office/word/2010/wordml" w:rsidP="6F51BD90" wp14:paraId="357FF846" wp14:textId="033D6282">
      <w:pPr>
        <w:pStyle w:val="Normal"/>
        <w:jc w:val="both"/>
        <w:rPr>
          <w:noProof w:val="0"/>
          <w:sz w:val="22"/>
          <w:szCs w:val="22"/>
          <w:u w:val="single"/>
          <w:lang w:val="tr-TR"/>
        </w:rPr>
      </w:pPr>
      <w:r w:rsidRPr="6F51BD90" w:rsidR="643F5FC1">
        <w:rPr>
          <w:noProof w:val="0"/>
          <w:sz w:val="22"/>
          <w:szCs w:val="22"/>
          <w:u w:val="single"/>
          <w:lang w:val="tr-TR"/>
        </w:rPr>
        <w:t xml:space="preserve">Bu içeriklere dayanılarak tesis edilecek her türlü işlem öncesinde, somut olayın özellikleri çerçevesinde yetkin bir hukuk uzmanından profesyonel destek alınması gerekmektedir. Aksi yönde yapılacak işlemlerden doğabilecek her türlü risk ve sorumluluk münhasıran ilgili kişiye aittir. </w:t>
      </w:r>
    </w:p>
    <w:p xmlns:wp14="http://schemas.microsoft.com/office/word/2010/wordml" w:rsidP="6F51BD90" wp14:paraId="786DB18F" wp14:textId="7488CE95">
      <w:pPr>
        <w:pStyle w:val="Normal"/>
        <w:jc w:val="both"/>
        <w:rPr>
          <w:noProof w:val="0"/>
          <w:sz w:val="22"/>
          <w:szCs w:val="22"/>
          <w:u w:val="single"/>
          <w:lang w:val="tr-TR"/>
        </w:rPr>
      </w:pPr>
      <w:r w:rsidRPr="6F51BD90" w:rsidR="643F5FC1">
        <w:rPr>
          <w:noProof w:val="0"/>
          <w:sz w:val="22"/>
          <w:szCs w:val="22"/>
          <w:u w:val="single"/>
          <w:lang w:val="tr-TR"/>
        </w:rPr>
        <w:t>İşbu içeriklerin kullanımından, yorumlanmasından veya bunlara dayanılarak alınan kararlardan kaynaklanabilecek doğrudan ya da dolaylı hiçbir zarar ve ziyandan dolayı firmamız, ortakları, çalışanları ve avukatları herhangi bir sorumluluk kabul etmez.</w:t>
      </w:r>
    </w:p>
    <w:p xmlns:wp14="http://schemas.microsoft.com/office/word/2010/wordml" w:rsidP="6F51BD90" wp14:paraId="683F7128" wp14:textId="6D312C62">
      <w:pPr>
        <w:pStyle w:val="Normal"/>
        <w:spacing w:after="240" w:afterAutospacing="off" w:line="276" w:lineRule="auto"/>
        <w:ind w:left="0"/>
        <w:jc w:val="both"/>
        <w:rPr>
          <w:rFonts w:ascii="Arial" w:hAnsi="Arial" w:eastAsia="Arial" w:cs="Arial" w:asciiTheme="minorAscii" w:hAnsiTheme="minorAscii" w:eastAsiaTheme="minorAscii" w:cstheme="minorAscii"/>
          <w:b w:val="1"/>
          <w:bCs w:val="1"/>
          <w:i w:val="0"/>
          <w:iCs w:val="0"/>
          <w:caps w:val="0"/>
          <w:smallCaps w:val="0"/>
          <w:noProof w:val="0"/>
          <w:color w:val="auto" w:themeColor="text1" w:themeTint="FF" w:themeShade="FF"/>
          <w:sz w:val="22"/>
          <w:szCs w:val="22"/>
          <w:lang w:val="tr-TR"/>
        </w:rPr>
      </w:pPr>
    </w:p>
    <w:p xmlns:wp14="http://schemas.microsoft.com/office/word/2010/wordml" w:rsidP="6F51BD90" wp14:paraId="36385952" wp14:textId="26C655C7">
      <w:pPr>
        <w:pStyle w:val="Normal"/>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r w:rsidRPr="6F51BD90" w:rsidR="63E58E92">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ESG VE YEŞİL DÖNÜŞÜM: REGÜLASYON, FİNANSMAN VE UYUM</w:t>
      </w:r>
    </w:p>
    <w:p xmlns:wp14="http://schemas.microsoft.com/office/word/2010/wordml" w:rsidP="304F246B" wp14:paraId="6BEE152F" wp14:textId="43543AA9">
      <w:pPr>
        <w:spacing w:after="240" w:afterAutospacing="off" w:line="276" w:lineRule="auto"/>
        <w:ind w:left="7080" w:firstLine="708"/>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r w:rsidRPr="304F246B" w:rsidR="0C301778">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Ekim 2025</w:t>
      </w:r>
    </w:p>
    <w:p w:rsidR="3F265E7C" w:rsidP="304F246B" w:rsidRDefault="3F265E7C" w14:paraId="28F86FE5" w14:textId="19AC70A8">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F265E7C">
        <w:rPr>
          <w:rFonts w:ascii="Arial" w:hAnsi="Arial" w:eastAsia="Arial" w:cs="Arial" w:asciiTheme="minorAscii" w:hAnsiTheme="minorAscii" w:eastAsiaTheme="minorAscii" w:cstheme="minorAscii"/>
          <w:b w:val="1"/>
          <w:bCs w:val="1"/>
          <w:noProof w:val="0"/>
          <w:sz w:val="22"/>
          <w:szCs w:val="22"/>
          <w:lang w:val="tr-TR"/>
        </w:rPr>
        <w:t>ESG STRATEJİLERİNDE 2025 PERSPEKTİFİ – ESG BÜLTENİ</w:t>
      </w:r>
    </w:p>
    <w:p w:rsidR="3F265E7C" w:rsidP="304F246B" w:rsidRDefault="3F265E7C" w14:paraId="27E688F3" w14:textId="666401DD">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F265E7C">
        <w:rPr>
          <w:rFonts w:ascii="Arial" w:hAnsi="Arial" w:eastAsia="Arial" w:cs="Arial" w:asciiTheme="minorAscii" w:hAnsiTheme="minorAscii" w:eastAsiaTheme="minorAscii" w:cstheme="minorAscii"/>
          <w:b w:val="1"/>
          <w:bCs w:val="1"/>
          <w:noProof w:val="0"/>
          <w:sz w:val="22"/>
          <w:szCs w:val="22"/>
          <w:lang w:val="tr-TR"/>
        </w:rPr>
        <w:t>1. Giriş</w:t>
      </w:r>
    </w:p>
    <w:p w:rsidR="3F265E7C" w:rsidP="304F246B" w:rsidRDefault="3F265E7C" w14:paraId="5752A208" w14:textId="2B7B6311">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2025 yılı, sürdürülebilirlik ve kurumsal sorumluluk alanında şirketler için kritik bir dönüm noktası olarak öne çıkmaktadır. Yatırımcılar, finansal performansın yanında çevresel, sosyal ve yönetişim (“ESG”) kriterlerine dayalı bütünsel bir kurumsal strateji görmek istemektedir. Küresel ölçekte hızla değişen düzenlemeler, raporlama standartları ve karbon politikaları, şirketlerin hem ulusal hem de uluslararası piyasalarda rekabet gücünü doğrudan etkilemektedir. Bu çerçevede ESG stratejileri; risk yönetiminin ötesinde, finansmana erişim, ticaretin sürdürülebilirliği ve marka değerinin korunması için vazgeçilmez bir araç hâline gelmiştir. 2025 perspektifi, şirketler için yalnızca bir uyum süreci değil; uzun vadeli büyüme ve dönüşüm fırsatlarının başlangıç noktasıdır.</w:t>
      </w:r>
    </w:p>
    <w:p w:rsidR="3F265E7C" w:rsidP="304F246B" w:rsidRDefault="3F265E7C" w14:paraId="16986F43" w14:textId="4FB70976">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F265E7C">
        <w:rPr>
          <w:rFonts w:ascii="Arial" w:hAnsi="Arial" w:eastAsia="Arial" w:cs="Arial" w:asciiTheme="minorAscii" w:hAnsiTheme="minorAscii" w:eastAsiaTheme="minorAscii" w:cstheme="minorAscii"/>
          <w:b w:val="1"/>
          <w:bCs w:val="1"/>
          <w:noProof w:val="0"/>
          <w:sz w:val="22"/>
          <w:szCs w:val="22"/>
          <w:lang w:val="tr-TR"/>
        </w:rPr>
        <w:t>2. İklim Kanunu</w:t>
      </w:r>
    </w:p>
    <w:p w:rsidR="3F265E7C" w:rsidP="304F246B" w:rsidRDefault="3F265E7C" w14:paraId="07F23A56" w14:textId="5FCF42A5">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9 Temmuz 2025 tarihli Resmî Gazete’de yayımlanan 7552 sayılı İklim Kanunu, Türkiye’nin yeşil büyüme vizyonu ve net sıfır emisyon hedefi doğrultusunda iklim değişikliğiyle mücadeleyi yasal temele oturtan ilk kapsamlı düzenlemedir. Kanun; sera gazı emisyonlarının azaltılmasına ve iklim değişikliğine uyum sağlanmasına yönelik planlama, uygulama ve finansman araçlarını, izin ve denetim mekanizmalarını, idari sorumlulukları ve emisyon ticaret sistemine dair çerçeveyi tek bir kanunda birleştirmektedir.</w:t>
      </w:r>
    </w:p>
    <w:p w:rsidR="3F265E7C" w:rsidP="304F246B" w:rsidRDefault="3F265E7C" w14:paraId="4F1E7881" w14:textId="4EFD1396">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Kanun, uygulamayı şekillendiren temel kavramlarla başlar. Bu bölümde Emisyon Ticaret Sistemi, tahsisat ve esneklik mekanizmaları gibi piyasa kavramlarının yanı sıra denkleştirme ve karbon kredisi gibi telafi araçları açıklanır. “Adil geçiş”, “iklim adaleti” ve “yeşil iş” gibi kavramlar ise iklim politikasının sadece teknik değil, aynı zamanda sosyal bir dönüşüm olduğunu gösterir. Ayrıca “Bakanlık”, “Başkanlık” ve “piyasa işletmecisi” gibi aktörlerin görevleri tanımlanır; merkezî uzlaştırma ve kayıt sistemleriyle piyasanın bütünlüğü korunur.</w:t>
      </w:r>
    </w:p>
    <w:p w:rsidR="3F265E7C" w:rsidP="304F246B" w:rsidRDefault="3F265E7C" w14:paraId="672078BE" w14:textId="06F0411E">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Genel ilkeler; eşitlik, şeffaflık, sürdürülebilirlik ve katılım değerlerine dayanır. Ulusal Katkı Beyanı ile uyumlu olarak sektörel politikaların gözden geçirilmesi, yerel düzeyde iklim eylem planlarının hazırlanması ve adil geçişin gözetilmesi gerekir. Denetim ve yaptırımlar yüksek idari para cezalarıyla desteklenir. Böylece Kanun, yalnızca hedef belirleyen değil, aynı zamanda uygulamayı yönlendiren bir düzenleme hâline gelir. İklim Kanunu’nun başlıca mekanizması olan Emisyon Ticaret Sistemi (“ETS”), piyasa temelli karbon fiyatlandırmasını hukuki zemine oturtarak bütüncül iklim politikasının merkezine yerleştirir.</w:t>
      </w:r>
    </w:p>
    <w:p w:rsidR="3F265E7C" w:rsidP="304F246B" w:rsidRDefault="3F265E7C" w14:paraId="63A9E4D2" w14:textId="491F4522">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F265E7C">
        <w:rPr>
          <w:rFonts w:ascii="Arial" w:hAnsi="Arial" w:eastAsia="Arial" w:cs="Arial" w:asciiTheme="minorAscii" w:hAnsiTheme="minorAscii" w:eastAsiaTheme="minorAscii" w:cstheme="minorAscii"/>
          <w:b w:val="1"/>
          <w:bCs w:val="1"/>
          <w:noProof w:val="0"/>
          <w:sz w:val="22"/>
          <w:szCs w:val="22"/>
          <w:lang w:val="tr-TR"/>
        </w:rPr>
        <w:t>3. Emisyon Ticaret Sistemi</w:t>
      </w:r>
    </w:p>
    <w:p w:rsidR="3F265E7C" w:rsidP="304F246B" w:rsidRDefault="3F265E7C" w14:paraId="26649F45" w14:textId="0B9958C3">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Emisyon Ticaret Sistemi, iklim politikalarında en yaygın kullanılan piyasa temelli mekanizmalardan biridir. Temel mantığı, sera gazı emisyonlarına bir üst sınır koymak ve bu sınır doğrultusunda işletmelere tahsisat dağıtmaktır. Tahsisatlar, bir ton karbondioksit eşdeğerinde emisyon hakkını temsil eder ve piyasada alınıp satılabilir. Bu model, emisyon azaltımını en düşük maliyetle gerçekleştirmeyi hedefler. Azaltım maliyeti düşük olan tesisler fazla tahsisatlarını satar, yüksek olanlar ise ek tahsisat satın alarak yükümlülüklerini yerine getirir. Böylece karbon fiyatı, piyasadaki arz-talep dengesiyle oluşur ve işletmeler için güçlü bir azaltım teşviki yaratır.</w:t>
      </w:r>
    </w:p>
    <w:p w:rsidR="3F265E7C" w:rsidP="304F246B" w:rsidRDefault="3F265E7C" w14:paraId="63D8D851" w14:textId="0D95E9E8">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Türkiye’de ETS, 9 Temmuz 2025’te yürürlüğe giren 7552 sayılı İklim Kanunu ile hukuki dayanağa kavuşmuş ve TR-ETS Yönetmelik Taslağı ile ayrıntılandırılmıştır. Sistem, belirlenen sektörlerde faaliyet gösteren tesisler için sera gazı emisyon izni zorunluluğu getirir. Ulusal Tahsisat Planı çerçevesinde emisyon üst sınırı belirlenir; tahsisatlar birincil piyasada dağıtılır veya satılır, ardından ikincil piyasada işlem görür. İşleyişte İklim Değişikliği Başkanlığı izleme ve tahsisat süreçlerini yönetir, EPİAŞ piyasayı işletir, merkezî uzlaştırma kuruluşu nakit takas ve teminat işlemlerini yürütür. Karbon Piyasası Kurulu ise ulusal tahsisat planını onaylamak, ücretsiz tahsisat oranlarını ve denkleştirme limitlerini belirlemekle yetkilidir.</w:t>
      </w:r>
    </w:p>
    <w:p w:rsidR="3F265E7C" w:rsidP="304F246B" w:rsidRDefault="3F265E7C" w14:paraId="289C5F0F" w14:textId="1BA2210B">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TR-ETS Yönetmelik Taslağı’na göre uygulama takvimi, 2026 ve 2027 yıllarını kapsayan pilot dönem ile başlamakta; bu dönemde Kategori B ve C tesisler sisteme dâhil edilmekte, tahsisatlar ücretsiz sağlanmakta ve yaptırımlar indirimli uygulanmaktadır. Ardından 2028–2035 yıllarını kapsayan birinci uygulama dönemi devreye girmekte ve iki alt dönemde, 2028–2030 ve 2031–2035 dönemlerinde, sürdürülmektedir.</w:t>
      </w:r>
    </w:p>
    <w:p w:rsidR="3F265E7C" w:rsidP="304F246B" w:rsidRDefault="3F265E7C" w14:paraId="6B736481" w14:textId="4E0696A8">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F265E7C">
        <w:rPr>
          <w:rFonts w:ascii="Arial" w:hAnsi="Arial" w:eastAsia="Arial" w:cs="Arial" w:asciiTheme="minorAscii" w:hAnsiTheme="minorAscii" w:eastAsiaTheme="minorAscii" w:cstheme="minorAscii"/>
          <w:b w:val="1"/>
          <w:bCs w:val="1"/>
          <w:noProof w:val="0"/>
          <w:sz w:val="22"/>
          <w:szCs w:val="22"/>
          <w:lang w:val="tr-TR"/>
        </w:rPr>
        <w:t>4. Karbon Kredilendirme ve Denkleştirme</w:t>
      </w:r>
    </w:p>
    <w:p w:rsidR="3F265E7C" w:rsidP="304F246B" w:rsidRDefault="3F265E7C" w14:paraId="5CC3F9CB" w14:textId="2F8D0CC6">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Karbon kredisi, bir ton karbondioksit eşdeğerinde sera gazı emisyonunun azaltılması veya giderilmesi sonucu ortaya çıkan ve standartlara uygun biçimde belgelendirilen değeri ifade eder. Denkleştirme ise işletmelerin ETS kapsamındaki yükümlülüklerinin belirli bir bölümünü bu krediler aracılığıyla yerine getirebilmesine imkân tanıyan süreçtir. Bu kavramlar, Karbon Kredilendirme ve Denkleştirme Yönetmeliği Taslağı ile hukuki bir çerçeveye oturtulmuştur.</w:t>
      </w:r>
    </w:p>
    <w:p w:rsidR="3F265E7C" w:rsidP="304F246B" w:rsidRDefault="3F265E7C" w14:paraId="5D2CF1D4" w14:textId="0E55BE0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Taslak, Türkiye Karbon Denkleştirme Sistemi’ni kurarak kredilerin üretimi, tescili ve kullanımına ilişkin usul ve esasları belirlemiştir. Ulusal karbon kredisi birimi Turkuaz Kredi olarak tanımlanmış, geçerli olabilmesi için projelerin bağımsız kuruluşlarca geçerli kılınması, doğrulanması ve ulusal karbon kredisi kayıt sistemine kaydedilmesi şartı getirilmiştir. Kredilerin kayıt altına alınması; mülkiyetin, transferin ve itfa işlemlerinin şeffaf biçimde izlenmesini sağlar. Yönetmelik, Turkuaz Kredilerin yalnızca gönüllü karbon piyasalarında değil, aynı zamanda Emisyon Ticaret Sistemi kapsamında da kullanılabileceğini hükme bağlamıştır.</w:t>
      </w:r>
    </w:p>
    <w:p w:rsidR="3F265E7C" w:rsidP="304F246B" w:rsidRDefault="3F265E7C" w14:paraId="292937AD" w14:textId="2CA7CD22">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Burada getirilen en önemli teknik ayrıntı, tesislerin yıllık tahsisat teslim yükümlülüklerinin en fazla %10’unu Turkuaz Krediler ile karşılayabilmesidir. Örneğin, 100.000 ton emisyonu olan bir tesis 100.000 tahsisat teslim etmek zorundadır; bunun 10.000’lik kısmını karbon kredileriyle kapatabilir. Geri kalan kısmı ise doğrudan tahsisat teslimiyle yerine getirilmelidir. Bu oran, sistemin pilot döneminde piyasa istikrarını korumak amacıyla sınırlandırılmış olup, ilerleyen yıllarda Başkanlık tarafından yeniden değerlendirilebilecektir. Böylece karbon kredileri, hem gönüllü piyasaları destekleyen hem de ETS’nin maliyet etkinliğini artıran tamamlayıcı bir araç hâline gelmiştir.</w:t>
      </w:r>
    </w:p>
    <w:p w:rsidR="3F265E7C" w:rsidP="304F246B" w:rsidRDefault="3F265E7C" w14:paraId="6874AF7A" w14:textId="371DE49C">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F265E7C">
        <w:rPr>
          <w:rFonts w:ascii="Arial" w:hAnsi="Arial" w:eastAsia="Arial" w:cs="Arial" w:asciiTheme="minorAscii" w:hAnsiTheme="minorAscii" w:eastAsiaTheme="minorAscii" w:cstheme="minorAscii"/>
          <w:b w:val="1"/>
          <w:bCs w:val="1"/>
          <w:noProof w:val="0"/>
          <w:sz w:val="22"/>
          <w:szCs w:val="22"/>
          <w:lang w:val="tr-TR"/>
        </w:rPr>
        <w:t>5. Sınırda Karbon Düzenleme Mekanizması (SKDM)</w:t>
      </w:r>
    </w:p>
    <w:p w:rsidR="3F265E7C" w:rsidP="304F246B" w:rsidRDefault="3F265E7C" w14:paraId="42FBFE0C" w14:textId="03E4724B">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Avrupa Birliği tarafından uygulamaya konulan Sınırda Karbon Düzenleme Mekanizması (“SKDM”), karbon emisyonu yüksek ürünlerin Birlik pazarına girişinde ek maliyet getiren bir sistemdir. Böylece AB hem çevreyi korumayı hem de düşük karbonlu üretimi teşvik etmeyi hedeflemektedir. Mekanizma özellikle demir-çelik, alüminyum, çimento, gübre, elektrik ve hidrojen sektörlerini kapsamaktadır. Bu ürünler GTİP/CN kodlarıyla belirlenmiş olup SKDM Tüzüğü eklerinde yer almaktadır.</w:t>
      </w:r>
    </w:p>
    <w:p w:rsidR="3F265E7C" w:rsidP="304F246B" w:rsidRDefault="3F265E7C" w14:paraId="46CC181C" w14:textId="4E861727">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F265E7C">
        <w:rPr>
          <w:rFonts w:ascii="Arial" w:hAnsi="Arial" w:eastAsia="Arial" w:cs="Arial" w:asciiTheme="minorAscii" w:hAnsiTheme="minorAscii" w:eastAsiaTheme="minorAscii" w:cstheme="minorAscii"/>
          <w:noProof w:val="0"/>
          <w:sz w:val="22"/>
          <w:szCs w:val="22"/>
          <w:lang w:val="tr-TR"/>
        </w:rPr>
        <w:t>Sistem iki aşamalı çalışmaktadır: İlk aşamada, ithalatçılar yalnızca raporlama yaparak ürün miktarı, menşe ülke, üretici ve emisyon verilerini AB’ye bildirmektedir. İkinci aşamada ise raporlamaya ek olarak emisyona bağlı maliyetlerin ödenmesi söz konusu olmaktadır. Bu süreçte ithalatçılar, ürünün karbon içeriğine ilişkin verileri üreticiden almak ve karmaşık ürünlerde tüm ara girdilerin emisyonlarını hesaplamak zorundadır. Dolayısıyla işletmelerin üretim süreçlerinden kaynaklanan emisyonlarını düzenli şekilde izlemeleri, kayıt altına almaları ve uyum için gerekli adımları titizlikle atmaları gerekmektedir. Türkiye’de ise İklim Kanunu, SKDM’ye ilişkin usul ve esasları belirleme yetkisini Ticaret Bakanlığı’na vererek ülkenin kendi SKDM’sini kurmasına hukuki dayanak sağlamıştır.</w:t>
      </w:r>
    </w:p>
    <w:p w:rsidR="304F246B" w:rsidP="304F246B" w:rsidRDefault="304F246B" w14:paraId="235A9E43" w14:textId="060ECA7A">
      <w:pPr>
        <w:spacing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p>
    <w:p xmlns:wp14="http://schemas.microsoft.com/office/word/2010/wordml" w:rsidP="304F246B" wp14:paraId="1ED259DF" wp14:textId="786178D6">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1C68EF50" wp14:textId="6F30BD25">
      <w:pPr>
        <w:pStyle w:val="ListParagraph"/>
        <w:spacing w:after="240" w:afterAutospacing="off" w:line="276" w:lineRule="auto"/>
        <w:jc w:val="both"/>
        <w:rPr>
          <w:rFonts w:ascii="Arial" w:hAnsi="Arial" w:eastAsia="Arial" w:cs="Arial" w:asciiTheme="minorAscii" w:hAnsiTheme="minorAscii" w:eastAsiaTheme="minorAscii" w:cstheme="minorAscii"/>
          <w:color w:val="auto"/>
          <w:sz w:val="22"/>
          <w:szCs w:val="22"/>
        </w:rPr>
      </w:pPr>
    </w:p>
    <w:p xmlns:wp14="http://schemas.microsoft.com/office/word/2010/wordml" w:rsidP="304F246B" wp14:paraId="054D5284" wp14:textId="0108010B">
      <w:pPr>
        <w:pStyle w:val="Normal"/>
        <w:spacing w:after="240" w:afterAutospacing="off" w:line="276" w:lineRule="auto"/>
        <w:jc w:val="both"/>
        <w:rPr>
          <w:rFonts w:ascii="Arial" w:hAnsi="Arial" w:eastAsia="Arial" w:cs="Arial" w:asciiTheme="minorAscii" w:hAnsiTheme="minorAscii" w:eastAsiaTheme="minorAscii" w:cstheme="minorAscii"/>
          <w:color w:val="auto"/>
          <w:sz w:val="22"/>
          <w:szCs w:val="22"/>
        </w:rPr>
      </w:pPr>
    </w:p>
    <w:p xmlns:wp14="http://schemas.microsoft.com/office/word/2010/wordml" w:rsidP="304F246B" wp14:paraId="2C79C747" wp14:textId="3309F0CD">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5F65C27A" wp14:textId="79A612C9">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r w:rsidRPr="304F246B">
        <w:rPr>
          <w:rFonts w:ascii="Arial" w:hAnsi="Arial" w:eastAsia="Arial" w:cs="Arial" w:asciiTheme="minorAscii" w:hAnsiTheme="minorAscii" w:eastAsiaTheme="minorAscii" w:cstheme="minorAscii"/>
          <w:color w:val="auto"/>
          <w:sz w:val="22"/>
          <w:szCs w:val="22"/>
        </w:rPr>
        <w:br w:type="page"/>
      </w:r>
    </w:p>
    <w:p w:rsidR="4B47BB4F" w:rsidP="304F246B" w:rsidRDefault="4B47BB4F" w14:paraId="75837B4D" w14:textId="1C40127E">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4B47BB4F">
        <w:rPr>
          <w:rFonts w:ascii="Arial" w:hAnsi="Arial" w:eastAsia="Arial" w:cs="Arial" w:asciiTheme="minorAscii" w:hAnsiTheme="minorAscii" w:eastAsiaTheme="minorAscii" w:cstheme="minorAscii"/>
          <w:b w:val="1"/>
          <w:bCs w:val="1"/>
          <w:noProof w:val="0"/>
          <w:sz w:val="22"/>
          <w:szCs w:val="22"/>
          <w:lang w:val="tr-TR"/>
        </w:rPr>
        <w:t>ORTA VADELİ PROGRAM’DA YEŞİL DÖNÜŞÜM ADIMLARI VE YENİ DÜZENLEMELER</w:t>
      </w:r>
    </w:p>
    <w:p w:rsidR="4B47BB4F" w:rsidP="304F246B" w:rsidRDefault="4B47BB4F" w14:paraId="57DD2BEE" w14:textId="47107FB1">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4B47BB4F">
        <w:rPr>
          <w:rFonts w:ascii="Arial" w:hAnsi="Arial" w:eastAsia="Arial" w:cs="Arial" w:asciiTheme="minorAscii" w:hAnsiTheme="minorAscii" w:eastAsiaTheme="minorAscii" w:cstheme="minorAscii"/>
          <w:b w:val="1"/>
          <w:bCs w:val="1"/>
          <w:noProof w:val="0"/>
          <w:sz w:val="22"/>
          <w:szCs w:val="22"/>
          <w:lang w:val="tr-TR"/>
        </w:rPr>
        <w:t>EYLÜL 2025</w:t>
      </w:r>
    </w:p>
    <w:p w:rsidR="4B47BB4F" w:rsidP="304F246B" w:rsidRDefault="4B47BB4F" w14:paraId="2216813F" w14:textId="20CD7C4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2026-2028 yıllarına ilişkin Orta Vadeli Program (“OVP”), 07.09.2025 tarihi itibarıyla yürürlüğe girmiş olup, temel politikaları arasında 2026 yılının 4. çeyreğine kadar hayata geçirilmesi planlanan yeşil dönüşüm odaklı teknolojik gelişimin desteklenmesi de yer almaktadır.</w:t>
      </w:r>
    </w:p>
    <w:p w:rsidR="4B47BB4F" w:rsidP="304F246B" w:rsidRDefault="4B47BB4F" w14:paraId="2FC08505" w14:textId="7C963AF0">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OVP ile amaçlanan, yenilenebilir enerji yatırımları, yerli teknoloji geliştirme kapasitesi ve sürdürülebilir finansman araçlarıyla desteklenen; başta enerji, ulaştırma, sanayi ve tarım sektörlerinde olmak üzere düşük karbonlu üretim ve döngüsel ekonomi gibi uygulamalar aracılığıyla yeşil dönüşüm sürecinin hızlandırılmasıdır.</w:t>
      </w:r>
    </w:p>
    <w:p w:rsidR="4B47BB4F" w:rsidP="304F246B" w:rsidRDefault="4B47BB4F" w14:paraId="2B4A6B19" w14:textId="5C626DE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Paris İklim Anlaşması’nın gerektirdiği yeşil dönüşüm sürecine yönelik yol haritası niteliğindeki Avrupa Yeşil Mutabakatı (“AYM”) uyarınca ortaya konulan Avrupa Birliği düzenlemeleri ve Türkiye-AB Mali İşbirliği Çerçevesinde Yeşil Dönüşüm kapsamında uyum sürecinin sağlanması adına, 2026-2028 yıllarında Türkiye’de bazı düzenlemelere gidilmesi planlanmaktadır.</w:t>
      </w:r>
    </w:p>
    <w:p w:rsidR="4B47BB4F" w:rsidP="304F246B" w:rsidRDefault="4B47BB4F" w14:paraId="5DCC2CA7" w14:textId="1CC44A8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Hâlihazırda mevzuat çalışmaları başlamış olup Karbon Kredilendirme ve Denkleştirme Yönetmeliği, Türkiye Emisyon Ticaret Sistemi Yönetmeliği, Türkiye Yeşil Taksonomi Yönetmeliği ve Yerel İklim Değişikliği Eylem Planları (“YİDEP”) Hakkında Yönetmelik Taslakları İklim Değişikliği Başkanlığı web sitesinde yayımlanmıştır.</w:t>
      </w:r>
    </w:p>
    <w:p w:rsidR="4B47BB4F" w:rsidP="304F246B" w:rsidRDefault="4B47BB4F" w14:paraId="64035A2C" w14:textId="0E2885BE">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4B47BB4F">
        <w:rPr>
          <w:rFonts w:ascii="Arial" w:hAnsi="Arial" w:eastAsia="Arial" w:cs="Arial" w:asciiTheme="minorAscii" w:hAnsiTheme="minorAscii" w:eastAsiaTheme="minorAscii" w:cstheme="minorAscii"/>
          <w:b w:val="1"/>
          <w:bCs w:val="1"/>
          <w:noProof w:val="0"/>
          <w:sz w:val="22"/>
          <w:szCs w:val="22"/>
          <w:lang w:val="tr-TR"/>
        </w:rPr>
        <w:t>OVP kapsamında planlanan düzenlemeler arasında;</w:t>
      </w:r>
    </w:p>
    <w:p w:rsidR="4B47BB4F" w:rsidP="304F246B" w:rsidRDefault="4B47BB4F" w14:paraId="399D421F" w14:textId="36A88E6B">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 xml:space="preserve">Sera gazı emisyonlarının azaltımı, TR </w:t>
      </w:r>
      <w:r w:rsidRPr="304F246B" w:rsidR="4B47BB4F">
        <w:rPr>
          <w:rFonts w:ascii="Arial" w:hAnsi="Arial" w:eastAsia="Arial" w:cs="Arial" w:asciiTheme="minorAscii" w:hAnsiTheme="minorAscii" w:eastAsiaTheme="minorAscii" w:cstheme="minorAscii"/>
          <w:noProof w:val="0"/>
          <w:sz w:val="22"/>
          <w:szCs w:val="22"/>
          <w:lang w:val="tr-TR"/>
        </w:rPr>
        <w:t>ETS’nin</w:t>
      </w:r>
      <w:r w:rsidRPr="304F246B" w:rsidR="4B47BB4F">
        <w:rPr>
          <w:rFonts w:ascii="Arial" w:hAnsi="Arial" w:eastAsia="Arial" w:cs="Arial" w:asciiTheme="minorAscii" w:hAnsiTheme="minorAscii" w:eastAsiaTheme="minorAscii" w:cstheme="minorAscii"/>
          <w:noProof w:val="0"/>
          <w:sz w:val="22"/>
          <w:szCs w:val="22"/>
          <w:lang w:val="tr-TR"/>
        </w:rPr>
        <w:t xml:space="preserve"> uygulamaya geçirilmesi </w:t>
      </w:r>
      <w:r w:rsidRPr="304F246B" w:rsidR="4B47BB4F">
        <w:rPr>
          <w:rFonts w:ascii="Arial" w:hAnsi="Arial" w:eastAsia="Arial" w:cs="Arial" w:asciiTheme="minorAscii" w:hAnsiTheme="minorAscii" w:eastAsiaTheme="minorAscii" w:cstheme="minorAscii"/>
          <w:noProof w:val="0"/>
          <w:sz w:val="22"/>
          <w:szCs w:val="22"/>
          <w:lang w:val="tr-TR"/>
        </w:rPr>
        <w:t>ile birlikte</w:t>
      </w:r>
      <w:r w:rsidRPr="304F246B" w:rsidR="4B47BB4F">
        <w:rPr>
          <w:rFonts w:ascii="Arial" w:hAnsi="Arial" w:eastAsia="Arial" w:cs="Arial" w:asciiTheme="minorAscii" w:hAnsiTheme="minorAscii" w:eastAsiaTheme="minorAscii" w:cstheme="minorAscii"/>
          <w:noProof w:val="0"/>
          <w:sz w:val="22"/>
          <w:szCs w:val="22"/>
          <w:lang w:val="tr-TR"/>
        </w:rPr>
        <w:t xml:space="preserve"> AB’nin Sınırda Karbon Düzenleme </w:t>
      </w:r>
      <w:r w:rsidRPr="304F246B" w:rsidR="4B47BB4F">
        <w:rPr>
          <w:rFonts w:ascii="Arial" w:hAnsi="Arial" w:eastAsia="Arial" w:cs="Arial" w:asciiTheme="minorAscii" w:hAnsiTheme="minorAscii" w:eastAsiaTheme="minorAscii" w:cstheme="minorAscii"/>
          <w:noProof w:val="0"/>
          <w:sz w:val="22"/>
          <w:szCs w:val="22"/>
          <w:lang w:val="tr-TR"/>
        </w:rPr>
        <w:t>Mekanizması’nın</w:t>
      </w:r>
      <w:r w:rsidRPr="304F246B" w:rsidR="4B47BB4F">
        <w:rPr>
          <w:rFonts w:ascii="Arial" w:hAnsi="Arial" w:eastAsia="Arial" w:cs="Arial" w:asciiTheme="minorAscii" w:hAnsiTheme="minorAscii" w:eastAsiaTheme="minorAscii" w:cstheme="minorAscii"/>
          <w:noProof w:val="0"/>
          <w:sz w:val="22"/>
          <w:szCs w:val="22"/>
          <w:lang w:val="tr-TR"/>
        </w:rPr>
        <w:t xml:space="preserve"> (“SKDM”) tesis edilmesi ve ETS gelirlerinin yeşil dönüşüm finansmanında kullanılması,</w:t>
      </w:r>
    </w:p>
    <w:p w:rsidR="4B47BB4F" w:rsidP="304F246B" w:rsidRDefault="4B47BB4F" w14:paraId="30A6DED0" w14:textId="4836B3E8">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Enerji ve madencilik sektöründe kullanılan kritik teknoloji ve ekipmanların geliştirilmesi ve yerlileştirilmesine yönelik Ar-</w:t>
      </w:r>
      <w:r w:rsidRPr="304F246B" w:rsidR="4B47BB4F">
        <w:rPr>
          <w:rFonts w:ascii="Arial" w:hAnsi="Arial" w:eastAsia="Arial" w:cs="Arial" w:asciiTheme="minorAscii" w:hAnsiTheme="minorAscii" w:eastAsiaTheme="minorAscii" w:cstheme="minorAscii"/>
          <w:noProof w:val="0"/>
          <w:sz w:val="22"/>
          <w:szCs w:val="22"/>
          <w:lang w:val="tr-TR"/>
        </w:rPr>
        <w:t>Ge</w:t>
      </w:r>
      <w:r w:rsidRPr="304F246B" w:rsidR="4B47BB4F">
        <w:rPr>
          <w:rFonts w:ascii="Arial" w:hAnsi="Arial" w:eastAsia="Arial" w:cs="Arial" w:asciiTheme="minorAscii" w:hAnsiTheme="minorAscii" w:eastAsiaTheme="minorAscii" w:cstheme="minorAscii"/>
          <w:noProof w:val="0"/>
          <w:sz w:val="22"/>
          <w:szCs w:val="22"/>
          <w:lang w:val="tr-TR"/>
        </w:rPr>
        <w:t xml:space="preserve"> ve </w:t>
      </w:r>
      <w:r w:rsidRPr="304F246B" w:rsidR="4B47BB4F">
        <w:rPr>
          <w:rFonts w:ascii="Arial" w:hAnsi="Arial" w:eastAsia="Arial" w:cs="Arial" w:asciiTheme="minorAscii" w:hAnsiTheme="minorAscii" w:eastAsiaTheme="minorAscii" w:cstheme="minorAscii"/>
          <w:noProof w:val="0"/>
          <w:sz w:val="22"/>
          <w:szCs w:val="22"/>
          <w:lang w:val="tr-TR"/>
        </w:rPr>
        <w:t>Ür-Ge</w:t>
      </w:r>
      <w:r w:rsidRPr="304F246B" w:rsidR="4B47BB4F">
        <w:rPr>
          <w:rFonts w:ascii="Arial" w:hAnsi="Arial" w:eastAsia="Arial" w:cs="Arial" w:asciiTheme="minorAscii" w:hAnsiTheme="minorAscii" w:eastAsiaTheme="minorAscii" w:cstheme="minorAscii"/>
          <w:noProof w:val="0"/>
          <w:sz w:val="22"/>
          <w:szCs w:val="22"/>
          <w:lang w:val="tr-TR"/>
        </w:rPr>
        <w:t xml:space="preserve"> faaliyetlerinin desteklenmesi,</w:t>
      </w:r>
    </w:p>
    <w:p w:rsidR="4B47BB4F" w:rsidP="304F246B" w:rsidRDefault="4B47BB4F" w14:paraId="7807A529" w14:textId="15D48876">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Avrupa Yeşil Mutabakatı (“AYM”) ve SKDM düzenlemelerinden etkilenecek sektörler için uyum sürecini kolaylaştırmak adına düşük karbonlu sektörel yol haritaları hazırlanması,</w:t>
      </w:r>
    </w:p>
    <w:p w:rsidR="4B47BB4F" w:rsidP="304F246B" w:rsidRDefault="4B47BB4F" w14:paraId="0A934574" w14:textId="783A11DC">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Yeşil dönüşüm sürecinde işletmelerin çevresel etkilerini izleyip raporlayacak uzman insan kaynağı yetiştirilmesi, raporlama standartları ve denetim altyapısının güçlendirilmesi,</w:t>
      </w:r>
    </w:p>
    <w:p w:rsidR="4B47BB4F" w:rsidP="304F246B" w:rsidRDefault="4B47BB4F" w14:paraId="4DCBB35A" w14:textId="3B0F1DDF">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Türkiye Yeşil Sanayi Projesi kapsamında sanayide sürdürülebilir üretim, enerji verimliliği ve iklim dostu teknolojilerin geliştirilmesi,</w:t>
      </w:r>
    </w:p>
    <w:p w:rsidR="4B47BB4F" w:rsidP="304F246B" w:rsidRDefault="4B47BB4F" w14:paraId="543A7F1F" w14:textId="6E4165B5">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Ulaşımda Net Sıfır Emisyon Stratejisi ve Eylem Planı ile akıllı ulaşım sistemleri teknoloji yol haritası kapsamında ulaşımda emisyon azaltımına yönelik projelerin hayata geçirilmesi,</w:t>
      </w:r>
    </w:p>
    <w:p w:rsidR="4B47BB4F" w:rsidP="304F246B" w:rsidRDefault="4B47BB4F" w14:paraId="634E153E" w14:textId="5851C401">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Lojistik sektöründe yüksek kapasiteli şarj istasyonları ulusal planı oluşturulması,</w:t>
      </w:r>
    </w:p>
    <w:p w:rsidR="4B47BB4F" w:rsidP="304F246B" w:rsidRDefault="4B47BB4F" w14:paraId="7F8627EB" w14:textId="752243C0">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Sürdürülebilir Turizm Programı kapsamında turizmde yeşil dönüşümün hızlandırılması,</w:t>
      </w:r>
    </w:p>
    <w:p w:rsidR="4B47BB4F" w:rsidP="304F246B" w:rsidRDefault="4B47BB4F" w14:paraId="784D279C" w14:textId="599F4637">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Yerel İklim Değişikliği Eylem Planı Yönetmeliği’nin yayımlanması ve yerel yönetimlerin iklim değişikliğiyle mücadele ve uyum kapsamında gerçekleştireceği yatırımlar için yenilikçi ve sürdürülebilir finansman modelleri oluşturulması,</w:t>
      </w:r>
    </w:p>
    <w:p w:rsidR="4B47BB4F" w:rsidP="304F246B" w:rsidRDefault="4B47BB4F" w14:paraId="466EAEAD" w14:textId="1EC9F3BB">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Ulusal Döngüsel Ekonomi Eylem Planı kapsamında ulusal geri kazanım oranının yükseltilmesi,</w:t>
      </w:r>
    </w:p>
    <w:p w:rsidR="4B47BB4F" w:rsidP="304F246B" w:rsidRDefault="4B47BB4F" w14:paraId="6E79AAC8" w14:textId="359121A4">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D</w:t>
      </w:r>
      <w:r w:rsidRPr="304F246B" w:rsidR="4B47BB4F">
        <w:rPr>
          <w:rFonts w:ascii="Arial" w:hAnsi="Arial" w:eastAsia="Arial" w:cs="Arial" w:asciiTheme="minorAscii" w:hAnsiTheme="minorAscii" w:eastAsiaTheme="minorAscii" w:cstheme="minorAscii"/>
          <w:noProof w:val="0"/>
          <w:sz w:val="22"/>
          <w:szCs w:val="22"/>
          <w:lang w:val="tr-TR"/>
        </w:rPr>
        <w:t>üşük karbonlu üretimi amaçlayan yatırımların Yeşil Dönüşüm Destek Programı kapsamında teşvik edilmesi,</w:t>
      </w:r>
    </w:p>
    <w:p w:rsidR="4B47BB4F" w:rsidP="304F246B" w:rsidRDefault="4B47BB4F" w14:paraId="229168C4" w14:textId="2E0A1935">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Sıfır atık uygulamalarının yaygınlaştırılması,</w:t>
      </w:r>
    </w:p>
    <w:p w:rsidR="4B47BB4F" w:rsidP="304F246B" w:rsidRDefault="4B47BB4F" w14:paraId="6092E027" w14:textId="7A7B921C">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Plastik ürünlerin üretimi, kullanımı ve bertarafına ilişkin politika ve mevzuatın iyileştirilmesi,</w:t>
      </w:r>
    </w:p>
    <w:p w:rsidR="4B47BB4F" w:rsidP="304F246B" w:rsidRDefault="4B47BB4F" w14:paraId="44695DBD" w14:textId="2E42D23B">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Enerjide ithal kaynaklara bağımlılığı azaltmak amacıyla yenilenebilir enerji kaynaklarından elektrik üretiminin artırılması,</w:t>
      </w:r>
    </w:p>
    <w:p w:rsidR="4B47BB4F" w:rsidP="304F246B" w:rsidRDefault="4B47BB4F" w14:paraId="6BF8845B" w14:textId="6ECC2331">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Elektrik iletim ve dağıtım şebeke altyapısının yeni teknolojilerle uyumlu şekilde güçlendirilmesi,</w:t>
      </w:r>
    </w:p>
    <w:p w:rsidR="4B47BB4F" w:rsidP="304F246B" w:rsidRDefault="4B47BB4F" w14:paraId="1814266E" w14:textId="2191FC36">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Enerji verimliliği yatırımlarının desteklenmesi,</w:t>
      </w:r>
    </w:p>
    <w:p w:rsidR="4B47BB4F" w:rsidP="304F246B" w:rsidRDefault="4B47BB4F" w14:paraId="02FEE379" w14:textId="08B2F86B">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Arz güvenliğinin artırılması ve enerjinin verimli kullanımının teşvik edilmesi,</w:t>
      </w:r>
    </w:p>
    <w:p w:rsidR="4B47BB4F" w:rsidP="304F246B" w:rsidRDefault="4B47BB4F" w14:paraId="6C52999F" w14:textId="3DE74EF6">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Ulusal Yeşil Sertifika Sistemi ile yenilenebilir enerji kullanım oranı ve enerji verimliliği yüksek yeşil binaların yaygınlaştırılması ve Neredeyse Sıfır Enerjili Bina (“</w:t>
      </w:r>
      <w:r w:rsidRPr="304F246B" w:rsidR="4B47BB4F">
        <w:rPr>
          <w:rFonts w:ascii="Arial" w:hAnsi="Arial" w:eastAsia="Arial" w:cs="Arial" w:asciiTheme="minorAscii" w:hAnsiTheme="minorAscii" w:eastAsiaTheme="minorAscii" w:cstheme="minorAscii"/>
          <w:noProof w:val="0"/>
          <w:sz w:val="22"/>
          <w:szCs w:val="22"/>
          <w:lang w:val="tr-TR"/>
        </w:rPr>
        <w:t>nSEB</w:t>
      </w:r>
      <w:r w:rsidRPr="304F246B" w:rsidR="4B47BB4F">
        <w:rPr>
          <w:rFonts w:ascii="Arial" w:hAnsi="Arial" w:eastAsia="Arial" w:cs="Arial" w:asciiTheme="minorAscii" w:hAnsiTheme="minorAscii" w:eastAsiaTheme="minorAscii" w:cstheme="minorAscii"/>
          <w:noProof w:val="0"/>
          <w:sz w:val="22"/>
          <w:szCs w:val="22"/>
          <w:lang w:val="tr-TR"/>
        </w:rPr>
        <w:t>”) kriterlerinin geliştirilmesi,</w:t>
      </w:r>
    </w:p>
    <w:p w:rsidR="4B47BB4F" w:rsidP="304F246B" w:rsidRDefault="4B47BB4F" w14:paraId="4FE43E81" w14:textId="058CE72A">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Atık ısının kullanılabilmesi için ısı arzına yönelik mevzuatın düzenlenmesi ve</w:t>
      </w:r>
    </w:p>
    <w:p w:rsidR="4B47BB4F" w:rsidP="304F246B" w:rsidRDefault="4B47BB4F" w14:paraId="2B4E2F5D" w14:textId="5359AB76">
      <w:pPr>
        <w:pStyle w:val="ListParagraph"/>
        <w:numPr>
          <w:ilvl w:val="0"/>
          <w:numId w:val="5"/>
        </w:num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Mevcut ve yeni kurulacak serbest bölgelerde yenilenebilir enerji kullanımının yaygınlaştırılması</w:t>
      </w:r>
    </w:p>
    <w:p w:rsidR="4B47BB4F" w:rsidP="304F246B" w:rsidRDefault="4B47BB4F" w14:paraId="1F7ACC8E" w14:textId="0036788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4B47BB4F">
        <w:rPr>
          <w:rFonts w:ascii="Arial" w:hAnsi="Arial" w:eastAsia="Arial" w:cs="Arial" w:asciiTheme="minorAscii" w:hAnsiTheme="minorAscii" w:eastAsiaTheme="minorAscii" w:cstheme="minorAscii"/>
          <w:noProof w:val="0"/>
          <w:sz w:val="22"/>
          <w:szCs w:val="22"/>
          <w:lang w:val="tr-TR"/>
        </w:rPr>
        <w:t>hedefleri yer almaktadır.</w:t>
      </w:r>
    </w:p>
    <w:p w:rsidR="304F246B" w:rsidP="304F246B" w:rsidRDefault="304F246B" w14:paraId="0E0C5447" w14:textId="775044F8">
      <w:pPr>
        <w:spacing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p>
    <w:p xmlns:wp14="http://schemas.microsoft.com/office/word/2010/wordml" w:rsidP="304F246B" wp14:paraId="48E9A1BA" wp14:textId="20D19B20">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406A8473" wp14:textId="41FEEB28">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r w:rsidRPr="304F246B">
        <w:rPr>
          <w:rFonts w:ascii="Arial" w:hAnsi="Arial" w:eastAsia="Arial" w:cs="Arial" w:asciiTheme="minorAscii" w:hAnsiTheme="minorAscii" w:eastAsiaTheme="minorAscii" w:cstheme="minorAscii"/>
          <w:color w:val="auto"/>
          <w:sz w:val="22"/>
          <w:szCs w:val="22"/>
        </w:rPr>
        <w:br w:type="page"/>
      </w:r>
    </w:p>
    <w:p xmlns:wp14="http://schemas.microsoft.com/office/word/2010/wordml" w:rsidP="304F246B" wp14:paraId="7E0F0E73" wp14:textId="3F9AED00">
      <w:pPr>
        <w:pStyle w:val="Normal"/>
        <w:spacing w:after="240" w:afterAutospacing="off" w:line="276" w:lineRule="auto"/>
        <w:ind w:left="0"/>
        <w:jc w:val="both"/>
        <w:rPr>
          <w:rFonts w:ascii="Arial" w:hAnsi="Arial" w:eastAsia="Arial" w:cs="Arial" w:asciiTheme="minorAscii" w:hAnsiTheme="minorAscii" w:eastAsiaTheme="minorAscii" w:cstheme="minorAscii"/>
          <w:b w:val="1"/>
          <w:bCs w:val="1"/>
          <w:i w:val="0"/>
          <w:iCs w:val="0"/>
          <w:caps w:val="0"/>
          <w:smallCaps w:val="0"/>
          <w:noProof w:val="0"/>
          <w:color w:val="000000" w:themeColor="text1" w:themeTint="FF" w:themeShade="FF"/>
          <w:sz w:val="22"/>
          <w:szCs w:val="22"/>
          <w:lang w:val="tr-TR"/>
        </w:rPr>
      </w:pPr>
      <w:r w:rsidRPr="304F246B" w:rsidR="63E58E92">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p>
    <w:p w:rsidR="016B6FDF" w:rsidP="304F246B" w:rsidRDefault="016B6FDF" w14:paraId="445F06C0" w14:textId="43CF08A5">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16B6FDF">
        <w:rPr>
          <w:rFonts w:ascii="Arial" w:hAnsi="Arial" w:eastAsia="Arial" w:cs="Arial" w:asciiTheme="minorAscii" w:hAnsiTheme="minorAscii" w:eastAsiaTheme="minorAscii" w:cstheme="minorAscii"/>
          <w:b w:val="1"/>
          <w:bCs w:val="1"/>
          <w:noProof w:val="0"/>
          <w:sz w:val="22"/>
          <w:szCs w:val="22"/>
          <w:lang w:val="tr-TR"/>
        </w:rPr>
        <w:t>ESG BÜLTENİ #1 – AB DÜZENLEMELERİNE UYUM: CBAM, CSRD VE ETS</w:t>
      </w:r>
    </w:p>
    <w:p w:rsidR="016B6FDF" w:rsidP="304F246B" w:rsidRDefault="016B6FDF" w14:paraId="23D9C732" w14:textId="19E50CF7">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AB’nin iklim politikaları, işletmelerin çevresel etkilerini ölçen ve raporlayan bütüncül bir yapı oluşturmaktadır.</w:t>
      </w:r>
    </w:p>
    <w:p w:rsidR="016B6FDF" w:rsidP="304F246B" w:rsidRDefault="016B6FDF" w14:paraId="5828B254" w14:textId="4AB14903">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Bu düzenlemeler, Avrupa sınırları içinde faaliyet gösteren işletmeler kadar, AB’ye ihracat yapan tedarik zincirleri üzerinde de etkili olmaktadır.</w:t>
      </w:r>
    </w:p>
    <w:p w:rsidR="016B6FDF" w:rsidP="304F246B" w:rsidRDefault="016B6FDF" w14:paraId="0FC5F5D1" w14:textId="6EF77234">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Türkiye’deki şirketler açısından bu durum; raporlama, doğrulama ve karbon fiyatlandırması alanlarında yeni yükümlülükler doğurmaktadır.</w:t>
      </w:r>
    </w:p>
    <w:p w:rsidR="016B6FDF" w:rsidP="304F246B" w:rsidRDefault="016B6FDF" w14:paraId="40F68356" w14:textId="7AEBE95E">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16B6FDF">
        <w:rPr>
          <w:rFonts w:ascii="Arial" w:hAnsi="Arial" w:eastAsia="Arial" w:cs="Arial" w:asciiTheme="minorAscii" w:hAnsiTheme="minorAscii" w:eastAsiaTheme="minorAscii" w:cstheme="minorAscii"/>
          <w:b w:val="1"/>
          <w:bCs w:val="1"/>
          <w:noProof w:val="0"/>
          <w:sz w:val="22"/>
          <w:szCs w:val="22"/>
          <w:lang w:val="tr-TR"/>
        </w:rPr>
        <w:t>AB İklim Politikalarının Yeni Dönemi</w:t>
      </w:r>
    </w:p>
    <w:p w:rsidR="016B6FDF" w:rsidP="304F246B" w:rsidRDefault="016B6FDF" w14:paraId="59100F47" w14:textId="45EB99EF">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Avrupa Birliği, iklim hedeflerine ulaşmak için üç temel düzenlemeyi eşgüdümlü biçimde uygulamaktadır:</w:t>
      </w:r>
    </w:p>
    <w:p w:rsidR="016B6FDF" w:rsidP="304F246B" w:rsidRDefault="016B6FDF" w14:paraId="1DF6BEE0" w14:textId="020AE00A">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CBAM (Sınırda Karbon Düzenleme Mekanizması),</w:t>
      </w:r>
      <w:r>
        <w:br/>
      </w:r>
      <w:r w:rsidRPr="304F246B" w:rsidR="016B6FDF">
        <w:rPr>
          <w:rFonts w:ascii="Arial" w:hAnsi="Arial" w:eastAsia="Arial" w:cs="Arial" w:asciiTheme="minorAscii" w:hAnsiTheme="minorAscii" w:eastAsiaTheme="minorAscii" w:cstheme="minorAscii"/>
          <w:noProof w:val="0"/>
          <w:sz w:val="22"/>
          <w:szCs w:val="22"/>
          <w:lang w:val="tr-TR"/>
        </w:rPr>
        <w:t xml:space="preserve"> CSRD (Kurumsal Sürdürülebilirlik Raporlama Direktifi),</w:t>
      </w:r>
      <w:r>
        <w:br/>
      </w:r>
      <w:r w:rsidRPr="304F246B" w:rsidR="016B6FDF">
        <w:rPr>
          <w:rFonts w:ascii="Arial" w:hAnsi="Arial" w:eastAsia="Arial" w:cs="Arial" w:asciiTheme="minorAscii" w:hAnsiTheme="minorAscii" w:eastAsiaTheme="minorAscii" w:cstheme="minorAscii"/>
          <w:noProof w:val="0"/>
          <w:sz w:val="22"/>
          <w:szCs w:val="22"/>
          <w:lang w:val="tr-TR"/>
        </w:rPr>
        <w:t xml:space="preserve"> ETS (Emisyon Ticaret Sistemi).</w:t>
      </w:r>
    </w:p>
    <w:p w:rsidR="016B6FDF" w:rsidP="304F246B" w:rsidRDefault="016B6FDF" w14:paraId="55BE9185" w14:textId="3D05FD16">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16B6FDF">
        <w:rPr>
          <w:rFonts w:ascii="Arial" w:hAnsi="Arial" w:eastAsia="Arial" w:cs="Arial" w:asciiTheme="minorAscii" w:hAnsiTheme="minorAscii" w:eastAsiaTheme="minorAscii" w:cstheme="minorAscii"/>
          <w:b w:val="1"/>
          <w:bCs w:val="1"/>
          <w:noProof w:val="0"/>
          <w:sz w:val="22"/>
          <w:szCs w:val="22"/>
          <w:lang w:val="tr-TR"/>
        </w:rPr>
        <w:t>CBAM (Sınırda Karbon Düzenleme Mekanizması)</w:t>
      </w:r>
    </w:p>
    <w:p w:rsidR="016B6FDF" w:rsidP="304F246B" w:rsidRDefault="016B6FDF" w14:paraId="3F67B8D9" w14:textId="15AF665B">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CBAM, Avrupa Birliği’ne ithal edilen ürünlerin karbon içeriklerini dengelemeye yönelik bir mekanizma olarak uygulanmaktadır.</w:t>
      </w:r>
    </w:p>
    <w:p w:rsidR="016B6FDF" w:rsidP="304F246B" w:rsidRDefault="016B6FDF" w14:paraId="1411A5D7" w14:textId="78B960DE">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Kapsam dâhilinde demir-çelik, alüminyum, gübre, çimento, elektrik ve hidrojen sektörleri yer almaktadır.</w:t>
      </w:r>
    </w:p>
    <w:p w:rsidR="016B6FDF" w:rsidP="304F246B" w:rsidRDefault="016B6FDF" w14:paraId="6FD2AD4F" w14:textId="0A253BD2">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2023–2025 geçiş döneminde raporlama yükümlülüğü devam etmekte, 2026 itibarıyla mali yükümlülükler devreye girmektedir.</w:t>
      </w:r>
    </w:p>
    <w:p w:rsidR="016B6FDF" w:rsidP="304F246B" w:rsidRDefault="016B6FDF" w14:paraId="112B085A" w14:textId="50E6DB7C">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Türk ihracatçıların, AB’ye gönderilen ürünler için doğrudan ve dolaylı emisyon verilerini uluslararası raporlama formatına uygun biçimde beyan etmesi gerekmektedir.</w:t>
      </w:r>
    </w:p>
    <w:p w:rsidR="016B6FDF" w:rsidP="304F246B" w:rsidRDefault="016B6FDF" w14:paraId="41F8FE33" w14:textId="18BFF27F">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16B6FDF">
        <w:rPr>
          <w:rFonts w:ascii="Arial" w:hAnsi="Arial" w:eastAsia="Arial" w:cs="Arial" w:asciiTheme="minorAscii" w:hAnsiTheme="minorAscii" w:eastAsiaTheme="minorAscii" w:cstheme="minorAscii"/>
          <w:b w:val="1"/>
          <w:bCs w:val="1"/>
          <w:noProof w:val="0"/>
          <w:sz w:val="22"/>
          <w:szCs w:val="22"/>
          <w:lang w:val="tr-TR"/>
        </w:rPr>
        <w:t>CSRD – Kurumsal Sürdürülebilirlik Raporlama Direktifi</w:t>
      </w:r>
    </w:p>
    <w:p w:rsidR="016B6FDF" w:rsidP="304F246B" w:rsidRDefault="016B6FDF" w14:paraId="2A510904" w14:textId="2B622F7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CSRD, Avrupa Birliği’nde sürdürülebilirlik raporlamasını bütüncül bir sisteme dönüştürmektedir.</w:t>
      </w:r>
    </w:p>
    <w:p w:rsidR="016B6FDF" w:rsidP="304F246B" w:rsidRDefault="016B6FDF" w14:paraId="3F1E2F56" w14:textId="321D6B1C">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Kapsama giren işletmelerin çevresel etkilerini, insan hakları politikalarını ve yönetişim uygulamalarını finansal raporlamayla birlikte açıklaması zorunlu hâle gelmiştir.</w:t>
      </w:r>
    </w:p>
    <w:p w:rsidR="016B6FDF" w:rsidP="304F246B" w:rsidRDefault="016B6FDF" w14:paraId="26BB3467" w14:textId="33FA81F1">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Türkiye’de yürürlüğe giren TSRS (Türkiye Sürdürülebilirlik Raporlama Standartları), CSRD ile büyük ölçüde uyum göstermektedir.</w:t>
      </w:r>
    </w:p>
    <w:p w:rsidR="016B6FDF" w:rsidP="304F246B" w:rsidRDefault="016B6FDF" w14:paraId="5B2980A7" w14:textId="6103105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Bu nedenle, TSRS kapsamındaki işletmelerin hazırladığı raporlar, AB standartlarına göre değerlendirilebilir nitelik taşımaktadır.</w:t>
      </w:r>
    </w:p>
    <w:p w:rsidR="016B6FDF" w:rsidP="304F246B" w:rsidRDefault="016B6FDF" w14:paraId="30286284" w14:textId="20697504">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16B6FDF">
        <w:rPr>
          <w:rFonts w:ascii="Arial" w:hAnsi="Arial" w:eastAsia="Arial" w:cs="Arial" w:asciiTheme="minorAscii" w:hAnsiTheme="minorAscii" w:eastAsiaTheme="minorAscii" w:cstheme="minorAscii"/>
          <w:b w:val="1"/>
          <w:bCs w:val="1"/>
          <w:noProof w:val="0"/>
          <w:sz w:val="22"/>
          <w:szCs w:val="22"/>
          <w:lang w:val="tr-TR"/>
        </w:rPr>
        <w:t>ETS – Emisyon Ticaret Sistemi</w:t>
      </w:r>
    </w:p>
    <w:p w:rsidR="016B6FDF" w:rsidP="304F246B" w:rsidRDefault="016B6FDF" w14:paraId="1353BD00" w14:textId="5F48F623">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Emisyon Ticaret Sistemi, karbon fiyatlandırmasını yöneten temel piyasa mekanizmasıdır.</w:t>
      </w:r>
    </w:p>
    <w:p w:rsidR="016B6FDF" w:rsidP="304F246B" w:rsidRDefault="016B6FDF" w14:paraId="1707A041" w14:textId="565049BA">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AB ETS kapsamında belirlenen sınırlar, işletmelere sera gazı salımı için izin tanımlamakta; fazla emisyonlar ise ticaret konusu hâline gelmektedir.</w:t>
      </w:r>
    </w:p>
    <w:p w:rsidR="016B6FDF" w:rsidP="304F246B" w:rsidRDefault="016B6FDF" w14:paraId="65321F19" w14:textId="06288E87">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Türkiye’de hazırlıkları sürdürülen Ulusal Emisyon Ticaret Sistemi (“TR ETS”), AB ETS ile uyumlu bir karbon piyasası oluşturmayı hedeflemektedir.</w:t>
      </w:r>
    </w:p>
    <w:p w:rsidR="016B6FDF" w:rsidP="304F246B" w:rsidRDefault="016B6FDF" w14:paraId="6ED24DF3" w14:textId="1802018E">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Bu yapı, işletmelerin karbon yönetimini ekonomik bir unsur hâline getirmekte ve sürdürülebilirlik performansını rekabet ölçütüne dönüştürmektedir.</w:t>
      </w:r>
    </w:p>
    <w:p w:rsidR="016B6FDF" w:rsidP="304F246B" w:rsidRDefault="016B6FDF" w14:paraId="59F819C9" w14:textId="3964EF03">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16B6FDF">
        <w:rPr>
          <w:rFonts w:ascii="Arial" w:hAnsi="Arial" w:eastAsia="Arial" w:cs="Arial" w:asciiTheme="minorAscii" w:hAnsiTheme="minorAscii" w:eastAsiaTheme="minorAscii" w:cstheme="minorAscii"/>
          <w:b w:val="1"/>
          <w:bCs w:val="1"/>
          <w:noProof w:val="0"/>
          <w:sz w:val="22"/>
          <w:szCs w:val="22"/>
          <w:lang w:val="tr-TR"/>
        </w:rPr>
        <w:t>Uyum Süreci ve Hukuki Boyut</w:t>
      </w:r>
    </w:p>
    <w:p w:rsidR="016B6FDF" w:rsidP="304F246B" w:rsidRDefault="016B6FDF" w14:paraId="02CD68E6" w14:textId="129F7323">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CBAM, CSRD ve ETS kapsamında yürütülen tüm bildirimlerin mevzuata uygun biçimde hazırlanması gerekmektedir.</w:t>
      </w:r>
    </w:p>
    <w:p w:rsidR="016B6FDF" w:rsidP="304F246B" w:rsidRDefault="016B6FDF" w14:paraId="16354E19" w14:textId="1F40A014">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Emisyon hesaplamalarının standartlara göre yapılması ve doğrulanması, hukuki risklerin azaltılmasına katkı sağlamaktadır.</w:t>
      </w:r>
    </w:p>
    <w:p w:rsidR="016B6FDF" w:rsidP="304F246B" w:rsidRDefault="016B6FDF" w14:paraId="53C70856" w14:textId="53E1CF5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Uygunsuzluk hâlinde idari yaptırımlar, tedarik zinciri değerlendirmelerinde olumsuz sonuçlar ve pazar erişiminde kısıtlamalar ortaya çıkabilecektir.</w:t>
      </w:r>
    </w:p>
    <w:p w:rsidR="016B6FDF" w:rsidP="304F246B" w:rsidRDefault="016B6FDF" w14:paraId="43683C4C" w14:textId="146BAF6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Bu nedenle, işletmelerin uyum sürecini hem teknik hem de hukuki açıdan bütüncül bir yaklaşımla yönetmesi önem taşımaktadır.</w:t>
      </w:r>
    </w:p>
    <w:p w:rsidR="016B6FDF" w:rsidP="304F246B" w:rsidRDefault="016B6FDF" w14:paraId="02C99968" w14:textId="216C7490">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16B6FDF">
        <w:rPr>
          <w:rFonts w:ascii="Arial" w:hAnsi="Arial" w:eastAsia="Arial" w:cs="Arial" w:asciiTheme="minorAscii" w:hAnsiTheme="minorAscii" w:eastAsiaTheme="minorAscii" w:cstheme="minorAscii"/>
          <w:noProof w:val="0"/>
          <w:sz w:val="22"/>
          <w:szCs w:val="22"/>
          <w:lang w:val="tr-TR"/>
        </w:rPr>
        <w:t>Uyum süreçlerine yönelik hukuki destek için bizimle iletişime geçebilirsiniz.</w:t>
      </w:r>
    </w:p>
    <w:p w:rsidR="304F246B" w:rsidP="304F246B" w:rsidRDefault="304F246B" w14:paraId="19223D3F" w14:textId="3F2E7DBD">
      <w:pPr>
        <w:spacing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p>
    <w:p xmlns:wp14="http://schemas.microsoft.com/office/word/2010/wordml" w:rsidP="304F246B" wp14:paraId="008BDD89" wp14:textId="447FE8D0">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1C33EFE6" wp14:textId="65F7C72A">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r w:rsidRPr="304F246B">
        <w:rPr>
          <w:rFonts w:ascii="Arial" w:hAnsi="Arial" w:eastAsia="Arial" w:cs="Arial" w:asciiTheme="minorAscii" w:hAnsiTheme="minorAscii" w:eastAsiaTheme="minorAscii" w:cstheme="minorAscii"/>
          <w:color w:val="auto"/>
          <w:sz w:val="22"/>
          <w:szCs w:val="22"/>
        </w:rPr>
        <w:br w:type="page"/>
      </w:r>
    </w:p>
    <w:p w:rsidR="7801F364" w:rsidP="304F246B" w:rsidRDefault="7801F364" w14:paraId="2C36CCE0" w14:textId="5C5C6438">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en-US"/>
        </w:rPr>
      </w:pPr>
      <w:r w:rsidRPr="304F246B" w:rsidR="7801F364">
        <w:rPr>
          <w:rFonts w:ascii="Arial" w:hAnsi="Arial" w:eastAsia="Arial" w:cs="Arial" w:asciiTheme="minorAscii" w:hAnsiTheme="minorAscii" w:eastAsiaTheme="minorAscii" w:cstheme="minorAscii"/>
          <w:b w:val="1"/>
          <w:bCs w:val="1"/>
          <w:noProof w:val="0"/>
          <w:sz w:val="22"/>
          <w:szCs w:val="22"/>
          <w:lang w:val="en-US"/>
        </w:rPr>
        <w:t>THE LEGAL DIMENSION OF GREEN FINANCE AND ESG CRITERIA</w:t>
      </w:r>
    </w:p>
    <w:p w:rsidR="7801F364" w:rsidP="304F246B" w:rsidRDefault="7801F364" w14:paraId="1629EF08" w14:textId="62936B15">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en-US"/>
        </w:rPr>
      </w:pPr>
      <w:r w:rsidRPr="304F246B" w:rsidR="7801F364">
        <w:rPr>
          <w:rFonts w:ascii="Arial" w:hAnsi="Arial" w:eastAsia="Arial" w:cs="Arial" w:asciiTheme="minorAscii" w:hAnsiTheme="minorAscii" w:eastAsiaTheme="minorAscii" w:cstheme="minorAscii"/>
          <w:b w:val="1"/>
          <w:bCs w:val="1"/>
          <w:noProof w:val="0"/>
          <w:sz w:val="22"/>
          <w:szCs w:val="22"/>
          <w:lang w:val="en-US"/>
        </w:rPr>
        <w:t>DECEMBER 2025</w:t>
      </w:r>
    </w:p>
    <w:p w:rsidR="7801F364" w:rsidP="304F246B" w:rsidRDefault="7801F364" w14:paraId="16A2EA77" w14:textId="02982DC4">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Corporate access to finance, sustainability obligations, and governance frameworks are undergoing a profound transformation. At the core of this shift lies the fact that environmental and social considerations have ceased to be voluntary preferences and have increasingly become legally enforceable compliance requirements. Green finance instruments and ESG criteria are shaped by both national and international regulations, and their legal impact has expanded across sectors.</w:t>
      </w:r>
    </w:p>
    <w:p w:rsidR="7801F364" w:rsidP="304F246B" w:rsidRDefault="7801F364" w14:paraId="773EA47C" w14:textId="0A5EB8F1">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As sustainability-focused regulatory frameworks evolve, companies face heightened expectations in financing processes, investor relations, and reporting obligations. Consequently, green finance and ESG criteria are now recognized not merely as environmental or economic tools, but as integral components of legal risk management.</w:t>
      </w:r>
    </w:p>
    <w:p w:rsidR="7801F364" w:rsidP="304F246B" w:rsidRDefault="7801F364" w14:paraId="19B76081" w14:textId="25EB2B90">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en-US"/>
        </w:rPr>
      </w:pPr>
      <w:r w:rsidRPr="304F246B" w:rsidR="7801F364">
        <w:rPr>
          <w:rFonts w:ascii="Arial" w:hAnsi="Arial" w:eastAsia="Arial" w:cs="Arial" w:asciiTheme="minorAscii" w:hAnsiTheme="minorAscii" w:eastAsiaTheme="minorAscii" w:cstheme="minorAscii"/>
          <w:b w:val="1"/>
          <w:bCs w:val="1"/>
          <w:noProof w:val="0"/>
          <w:sz w:val="22"/>
          <w:szCs w:val="22"/>
          <w:lang w:val="en-US"/>
        </w:rPr>
        <w:t>Legal Framework of Green Finance</w:t>
      </w:r>
    </w:p>
    <w:p w:rsidR="7801F364" w:rsidP="304F246B" w:rsidRDefault="7801F364" w14:paraId="0E7D3479" w14:textId="694FF041">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Green finance can be defined as a set of financial instruments designed to support projects that generate positive environmental outcomes. In practice, however, these instruments also impose contractual and regulatory obligations on companies.</w:t>
      </w:r>
    </w:p>
    <w:p w:rsidR="7801F364" w:rsidP="304F246B" w:rsidRDefault="7801F364" w14:paraId="0BCB854D" w14:textId="7A235A91">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Green loans, sustainability-linked loans, and green bonds require companies to meet predefined environmental performance targets. These targets are incorporated into financing agreements, and failure to comply may trigger legal consequences such as interest rate adjustments, more restrictive loan conditions, or accelerated repayment obligations.</w:t>
      </w:r>
    </w:p>
    <w:p w:rsidR="7801F364" w:rsidP="304F246B" w:rsidRDefault="7801F364" w14:paraId="7F8E6638" w14:textId="684BF290">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In parallel, financial regulators require financial institutions to assess environmental and social risks associated with the projects they finance. As a result, green finance has developed into a compliance-driven legal field for both lenders and borrowers, and environmental risk assessment is increasingly regarded as a mandatory element of due diligence processes.</w:t>
      </w:r>
    </w:p>
    <w:p w:rsidR="7801F364" w:rsidP="304F246B" w:rsidRDefault="7801F364" w14:paraId="7DCAB599" w14:textId="79ABC414">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en-US"/>
        </w:rPr>
      </w:pPr>
      <w:r w:rsidRPr="304F246B" w:rsidR="7801F364">
        <w:rPr>
          <w:rFonts w:ascii="Arial" w:hAnsi="Arial" w:eastAsia="Arial" w:cs="Arial" w:asciiTheme="minorAscii" w:hAnsiTheme="minorAscii" w:eastAsiaTheme="minorAscii" w:cstheme="minorAscii"/>
          <w:b w:val="1"/>
          <w:bCs w:val="1"/>
          <w:noProof w:val="0"/>
          <w:sz w:val="22"/>
          <w:szCs w:val="22"/>
          <w:lang w:val="en-US"/>
        </w:rPr>
        <w:t>Legal Nature of ESG Criteria</w:t>
      </w:r>
    </w:p>
    <w:p w:rsidR="7801F364" w:rsidP="304F246B" w:rsidRDefault="7801F364" w14:paraId="1BDDF4A1" w14:textId="2752D985">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Although ESG criteria have traditionally provided a voluntary framework for assessing environmental, social, and governance performance, regulatory developments have transformed this framework into a legally enforceable compliance domain.</w:t>
      </w:r>
    </w:p>
    <w:p w:rsidR="7801F364" w:rsidP="304F246B" w:rsidRDefault="7801F364" w14:paraId="16B173A2" w14:textId="22FBE0B6">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The environmental dimension introduces measurable obligations relating to emissions management, energy efficiency, waste and water management, and climate-related risk assessment.</w:t>
      </w:r>
    </w:p>
    <w:p w:rsidR="7801F364" w:rsidP="304F246B" w:rsidRDefault="7801F364" w14:paraId="3E454350" w14:textId="17E70B87">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The social dimension imposes legal responsibilities concerning labour rights, occupational health and safety, human rights due diligence, and ethical supply-chain practices.</w:t>
      </w:r>
    </w:p>
    <w:p w:rsidR="7801F364" w:rsidP="304F246B" w:rsidRDefault="7801F364" w14:paraId="43454D44" w14:textId="65DF780E">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The governance dimension requires companies to maintain transparency, ethical business conduct, anti-corruption mechanisms, and effective risk-management structures.</w:t>
      </w:r>
    </w:p>
    <w:p w:rsidR="7801F364" w:rsidP="304F246B" w:rsidRDefault="7801F364" w14:paraId="21BA9D60" w14:textId="323AC48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Through international directives and national legislation, these requirements are imposed as binding corporate obligations rather than voluntary guidelines.</w:t>
      </w:r>
    </w:p>
    <w:p w:rsidR="7801F364" w:rsidP="304F246B" w:rsidRDefault="7801F364" w14:paraId="47A58F59" w14:textId="084AC8C3">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en-US"/>
        </w:rPr>
      </w:pPr>
      <w:r w:rsidRPr="304F246B" w:rsidR="7801F364">
        <w:rPr>
          <w:rFonts w:ascii="Arial" w:hAnsi="Arial" w:eastAsia="Arial" w:cs="Arial" w:asciiTheme="minorAscii" w:hAnsiTheme="minorAscii" w:eastAsiaTheme="minorAscii" w:cstheme="minorAscii"/>
          <w:b w:val="1"/>
          <w:bCs w:val="1"/>
          <w:noProof w:val="0"/>
          <w:sz w:val="22"/>
          <w:szCs w:val="22"/>
          <w:lang w:val="en-US"/>
        </w:rPr>
        <w:t>Reporting Obligations and Legal Liabilities</w:t>
      </w:r>
    </w:p>
    <w:p w:rsidR="7801F364" w:rsidP="304F246B" w:rsidRDefault="7801F364" w14:paraId="1E6505F6" w14:textId="22A5C4DA">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In many jurisdictions, sustainability reporting is now regarded as comparable in importance to financial reporting. Companies are held legally responsible for the accuracy, completeness, and reliability of sustainability-related disclosures.</w:t>
      </w:r>
    </w:p>
    <w:p w:rsidR="7801F364" w:rsidP="304F246B" w:rsidRDefault="7801F364" w14:paraId="71CFF409" w14:textId="6F08D072">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Misleading, inaccurate, or incomplete reporting may give rise to regulatory enforcement actions, administrative sanctions, and potential civil liability. Where boards of directors fail to exercise adequate oversight over sustainability disclosures, director liability may arise under applicable corporate governance standards.</w:t>
      </w:r>
    </w:p>
    <w:p w:rsidR="7801F364" w:rsidP="304F246B" w:rsidRDefault="7801F364" w14:paraId="7A4A8D42" w14:textId="22A427A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Furthermore, sustainability data is increasingly subject to independent assurance requirements. The expansion of verification mechanisms reinforces the legal nature of reporting obligations and requires companies to implement more robust internal control systems.</w:t>
      </w:r>
    </w:p>
    <w:p w:rsidR="7801F364" w:rsidP="304F246B" w:rsidRDefault="7801F364" w14:paraId="099D07F7" w14:textId="20176C98">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en-US"/>
        </w:rPr>
      </w:pPr>
      <w:r w:rsidRPr="304F246B" w:rsidR="7801F364">
        <w:rPr>
          <w:rFonts w:ascii="Arial" w:hAnsi="Arial" w:eastAsia="Arial" w:cs="Arial" w:asciiTheme="minorAscii" w:hAnsiTheme="minorAscii" w:eastAsiaTheme="minorAscii" w:cstheme="minorAscii"/>
          <w:b w:val="1"/>
          <w:bCs w:val="1"/>
          <w:noProof w:val="0"/>
          <w:sz w:val="22"/>
          <w:szCs w:val="22"/>
          <w:lang w:val="en-US"/>
        </w:rPr>
        <w:t>Supply Chain Due Diligence and International Obligations</w:t>
      </w:r>
    </w:p>
    <w:p w:rsidR="7801F364" w:rsidP="304F246B" w:rsidRDefault="7801F364" w14:paraId="4B3B48DE" w14:textId="635320F0">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Recent regulatory frameworks require companies to assess ESG-related risks not only within their own operations but also throughout their supply chains. Under instruments such as the Corporate Sustainability Due Diligence Directive, companies may be held responsible for addressing human rights violations, environmental harm, and unethical practices occurring within their value chains.</w:t>
      </w:r>
    </w:p>
    <w:p w:rsidR="7801F364" w:rsidP="304F246B" w:rsidRDefault="7801F364" w14:paraId="723469B9" w14:textId="1D99027E">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Failure to implement adequate due diligence measures may expose companies to administrative penalties, restrictions on market access, and potential civil claims. For exporters, compliance with sustainability-related regulations has increasingly become a legal prerequisite for access to key markets, particularly within the European Union.</w:t>
      </w:r>
    </w:p>
    <w:p w:rsidR="7801F364" w:rsidP="304F246B" w:rsidRDefault="7801F364" w14:paraId="24026702" w14:textId="68618B47">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en-US"/>
        </w:rPr>
      </w:pPr>
      <w:r w:rsidRPr="304F246B" w:rsidR="7801F364">
        <w:rPr>
          <w:rFonts w:ascii="Arial" w:hAnsi="Arial" w:eastAsia="Arial" w:cs="Arial" w:asciiTheme="minorAscii" w:hAnsiTheme="minorAscii" w:eastAsiaTheme="minorAscii" w:cstheme="minorAscii"/>
          <w:b w:val="1"/>
          <w:bCs w:val="1"/>
          <w:noProof w:val="0"/>
          <w:sz w:val="22"/>
          <w:szCs w:val="22"/>
          <w:lang w:val="en-US"/>
        </w:rPr>
        <w:t>Contractual Risks and Board Liability</w:t>
      </w:r>
    </w:p>
    <w:p w:rsidR="7801F364" w:rsidP="304F246B" w:rsidRDefault="7801F364" w14:paraId="07D949F1" w14:textId="4FCADE3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Failure to meet sustainability performance targets creates both financial and legal risks. Within green finance structures, failure to achieve agreed performance indicators may activate contractual default mechanisms.</w:t>
      </w:r>
    </w:p>
    <w:p w:rsidR="7801F364" w:rsidP="304F246B" w:rsidRDefault="7801F364" w14:paraId="16A47448" w14:textId="1D1721A8">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Similarly, deficiencies in ESG-related reporting, risk assessment, or compliance systems may expose boards of directors to claims based on breaches of the duty of care or failures in supervisory responsibilities. These risks are increasingly recognized as part of the legal obligations of corporate leadership.</w:t>
      </w:r>
    </w:p>
    <w:p w:rsidR="7801F364" w:rsidP="304F246B" w:rsidRDefault="7801F364" w14:paraId="445BE0E1" w14:textId="2CE5400D">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en-US"/>
        </w:rPr>
      </w:pPr>
      <w:r w:rsidRPr="304F246B" w:rsidR="7801F364">
        <w:rPr>
          <w:rFonts w:ascii="Arial" w:hAnsi="Arial" w:eastAsia="Arial" w:cs="Arial" w:asciiTheme="minorAscii" w:hAnsiTheme="minorAscii" w:eastAsiaTheme="minorAscii" w:cstheme="minorAscii"/>
          <w:b w:val="1"/>
          <w:bCs w:val="1"/>
          <w:noProof w:val="0"/>
          <w:sz w:val="22"/>
          <w:szCs w:val="22"/>
          <w:lang w:val="en-US"/>
        </w:rPr>
        <w:t>Conclusion</w:t>
      </w:r>
    </w:p>
    <w:p w:rsidR="7801F364" w:rsidP="304F246B" w:rsidRDefault="7801F364" w14:paraId="113491C5" w14:textId="643E718B">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Green finance and ESG criteria have evolved into legally binding compliance areas driven by regulatory developments. These frameworks introduce new obligations across financing arrangements, reporting systems, supply-chain governance, and corporate management practices. Effective management of these obligations has become essential for mitigating legal risks and ensuring sustainable and compliant corporate growth.</w:t>
      </w:r>
    </w:p>
    <w:p w:rsidR="7801F364" w:rsidP="304F246B" w:rsidRDefault="7801F364" w14:paraId="6FA460EC" w14:textId="588A09FC">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en-US"/>
        </w:rPr>
      </w:pPr>
      <w:r w:rsidRPr="304F246B" w:rsidR="7801F364">
        <w:rPr>
          <w:rFonts w:ascii="Arial" w:hAnsi="Arial" w:eastAsia="Arial" w:cs="Arial" w:asciiTheme="minorAscii" w:hAnsiTheme="minorAscii" w:eastAsiaTheme="minorAscii" w:cstheme="minorAscii"/>
          <w:noProof w:val="0"/>
          <w:sz w:val="22"/>
          <w:szCs w:val="22"/>
          <w:lang w:val="en-US"/>
        </w:rPr>
        <w:t>Accordingly, companies are required to treat green finance and ESG criteria not merely as environmental or social initiatives, but as fundamental components of their overall legal compliance strategies.</w:t>
      </w:r>
    </w:p>
    <w:p w:rsidR="304F246B" w:rsidP="304F246B" w:rsidRDefault="304F246B" w14:paraId="50D4C7C0" w14:textId="0CBD818F">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en-US"/>
        </w:rPr>
      </w:pPr>
    </w:p>
    <w:p xmlns:wp14="http://schemas.microsoft.com/office/word/2010/wordml" w:rsidP="304F246B" wp14:paraId="3579A157" wp14:textId="481D7BF1">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r w:rsidRPr="304F246B">
        <w:rPr>
          <w:rFonts w:ascii="Arial" w:hAnsi="Arial" w:eastAsia="Arial" w:cs="Arial" w:asciiTheme="minorAscii" w:hAnsiTheme="minorAscii" w:eastAsiaTheme="minorAscii" w:cstheme="minorAscii"/>
          <w:color w:val="auto"/>
          <w:sz w:val="22"/>
          <w:szCs w:val="22"/>
        </w:rPr>
        <w:br w:type="page"/>
      </w:r>
    </w:p>
    <w:p w:rsidR="604C242A" w:rsidP="304F246B" w:rsidRDefault="604C242A" w14:paraId="2846B9F7" w14:textId="14190764">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FİNANSAL KURUMLAR İÇİN ESG UYUM REHBERİ – HUKUKİ ÇERÇEVE</w:t>
      </w:r>
    </w:p>
    <w:p w:rsidR="604C242A" w:rsidP="304F246B" w:rsidRDefault="604C242A" w14:paraId="0FB2822C" w14:textId="2E18EBD3">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OCAK 2026</w:t>
      </w:r>
    </w:p>
    <w:p w:rsidR="604C242A" w:rsidP="304F246B" w:rsidRDefault="604C242A" w14:paraId="674F42EE" w14:textId="4EE3427F">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I. Giriş</w:t>
      </w:r>
    </w:p>
    <w:p w:rsidR="604C242A" w:rsidP="304F246B" w:rsidRDefault="604C242A" w14:paraId="13339575" w14:textId="5FDF44F1">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Finansal kurumlar, sermaye akışını yönlendiren konumları nedeniyle ESG alanında ortaya çıkan hukuki risklerin merkezinde yer almaktadır. ESG uyumu, finansal kuruluşlar bakımından gönüllü bir yaklaşım değil; kredi, yatırım ve ürün süreçlerine yansıyan somut bir hukuki sorumluluk alanı oluşturmaktadır. Uluslararası düzenlemeler ve ulusal hukuk çerçevesi birlikte değerlendirildiğinde, ESG kapsamındaki açıklamalar ve karar süreçleri doğrudan denetim, yaptırım ve sorumluluk riskleri ile ilişkilendirilmektedir.</w:t>
      </w:r>
    </w:p>
    <w:p w:rsidR="604C242A" w:rsidP="304F246B" w:rsidRDefault="604C242A" w14:paraId="1C1991FC" w14:textId="43CB80F6">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II. Uluslararası ve Bölgesel Düzenlemeler Kapsamında Hukuki Çerçeve</w:t>
      </w:r>
    </w:p>
    <w:p w:rsidR="604C242A" w:rsidP="304F246B" w:rsidRDefault="604C242A" w14:paraId="19E0C237" w14:textId="17148B46">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Avrupa Birliği, sürdürülebilir finans alanında geliştirdiği düzenlemeler aracılığıyla finansal piyasaların işleyişini doğrudan etkileyen bir hukuki çerçeve ortaya koymaktadır. Bu düzenlemeler, finansal kurumların sundukları ürünler, yönettikleri fonlar ve sağladıkları finansmanlar bakımından açıklama yükümlülüklerini genişletmektedir.</w:t>
      </w:r>
    </w:p>
    <w:p w:rsidR="604C242A" w:rsidP="304F246B" w:rsidRDefault="604C242A" w14:paraId="3C28B9FB" w14:textId="36302DF0">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Sustainable Finance Disclosure Regulation (“SFDR”), finansal piyasa aktörlerinin ESG risklerini, sürdürülebilirlik etkilerini ve yatırım ürünlerinin sınıflandırılmasına ilişkin bilgileri kamuyla paylaşmasını zorunlu kılmaktadır. Bu düzenleme kapsamında yapılan açıklamalar, yatırımcı kararlarını doğrudan etkileyen beyanlar niteliği taşımaktadır.</w:t>
      </w:r>
    </w:p>
    <w:p w:rsidR="604C242A" w:rsidP="304F246B" w:rsidRDefault="604C242A" w14:paraId="6EB5E2C6" w14:textId="7B4A0B70">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EU Taxonomy Regulation, hangi ekonomik faaliyetlerin çevresel açıdan sürdürülebilir kabul edileceğini tanımlamakta ve bu sınıflandırmayı finansal ürünlerin pazarlanmasında referans noktası hâline getirmektedir. Bu düzenleme, finansal kurumların yatırım ve kredi faaliyetlerini dolaylı biçimde sınırlayan bir hukuki etki doğurmaktadır.</w:t>
      </w:r>
    </w:p>
    <w:p w:rsidR="604C242A" w:rsidP="304F246B" w:rsidRDefault="604C242A" w14:paraId="4C4B0200" w14:textId="2B6A133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Corporate Sustainability Reporting Directive (“CSRD”) ise finansal kuruluşların, kendi faaliyetlerinin yanı sıra finanse ettikleri şirketler üzerinden oluşan sürdürülebilirlik etkilerini de raporlama kapsamına dâhil etmektedir. Bu durum, finansal kurumların dolaylı risk alanlarını genişletmektedir.</w:t>
      </w:r>
    </w:p>
    <w:p w:rsidR="604C242A" w:rsidP="304F246B" w:rsidRDefault="604C242A" w14:paraId="625D027E" w14:textId="07FD3D6B">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Bu düzenlemeler çerçevesinde yapılan yanlış, eksik veya tutarsız açıklamalar; yanıltıcı beyan, idari yaptırım ve kurumsal itibar açısından risk doğurabilecek hukuki sonuçlara yol açabilmektedir.</w:t>
      </w:r>
    </w:p>
    <w:p w:rsidR="604C242A" w:rsidP="304F246B" w:rsidRDefault="604C242A" w14:paraId="6AF86817" w14:textId="2C6B99D7">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III. Finansal Kurumlara Özgü Hukuki Sorumluluk Alanları</w:t>
      </w:r>
    </w:p>
    <w:p w:rsidR="604C242A" w:rsidP="304F246B" w:rsidRDefault="604C242A" w14:paraId="6FD986BB" w14:textId="77A46506">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A. Yatırım ve Kredi Süreçleri</w:t>
      </w:r>
    </w:p>
    <w:p w:rsidR="604C242A" w:rsidP="304F246B" w:rsidRDefault="604C242A" w14:paraId="32B13CB6" w14:textId="41FD5D9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Finansal kurumların kredi tahsis ve yatırım kararları, geleneksel finansal risk değerlendirmesinin yanı sıra ESG risklerini de içeren çok boyutlu bir analiz gerektirmektedir. ESG risklerinin değerlendirme süreçlerine dâhil edilmemesi, ilerleyen aşamalarda kusurlu risk analizi iddialarına zemin hazırlayabilmektedir. Bu durum, finansman kararlarının hukuki denetiminde değerlendirmeye alınabilecek bir unsur hâline gelmektedir.</w:t>
      </w:r>
    </w:p>
    <w:p w:rsidR="604C242A" w:rsidP="304F246B" w:rsidRDefault="604C242A" w14:paraId="3DEA0837" w14:textId="6E7037A3">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B. Ürün ve Fon Yapıları</w:t>
      </w:r>
    </w:p>
    <w:p w:rsidR="604C242A" w:rsidP="304F246B" w:rsidRDefault="604C242A" w14:paraId="39884AEB" w14:textId="39D8F6FC">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ESG temalı ürün ve fonların pazarlanması, finansal kurumlar bakımından ayrı bir hukuki hassasiyet alanı oluşturmaktadır. ESG etiketi taşıyan fonlarda yapılan açıklamaların, ürünün gerçek yapısı ile uyumlu olmaması hâlinde greenwashing iddiaları gündeme gelebilmektedir. Ayrıca ürünlerin yanlış sınıflandırılması, yatırımcıya karşı sorumluluk riskini beraberinde getirmektedir. Bu bağlamda yapılan açıklamalar, hukuki sorumluluk doğurabilecek beyanlar niteliği taşımaktadır.</w:t>
      </w:r>
    </w:p>
    <w:p w:rsidR="604C242A" w:rsidP="304F246B" w:rsidRDefault="604C242A" w14:paraId="1DD0B8F9" w14:textId="6B57DBCB">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C. Kurumsal Yönetim</w:t>
      </w:r>
    </w:p>
    <w:p w:rsidR="604C242A" w:rsidP="304F246B" w:rsidRDefault="604C242A" w14:paraId="5A4D14EE" w14:textId="02204AA2">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Finansal kurumların yönetim kurulları, ESG risklerinin izlenmesi, bu risklere yönelik politika ve iç kontrol mekanizmalarının oluşturulması ve etkin şekilde işletilmesi konusunda sorumluluk taşımaktadır. Bu yükümlülükler, yönetim kurulu üyelerinin özen borcu ve sadakat yükümlülüğü kapsamında değerlendirilmektedir. ESG risklerinin kurumsal yönetim sistemine entegre edilmemesi, yönetim sorumluluğunun ihlali iddialarına konu olabilecek bir alan oluşturmaktadır.</w:t>
      </w:r>
    </w:p>
    <w:p w:rsidR="604C242A" w:rsidP="304F246B" w:rsidRDefault="604C242A" w14:paraId="332986E3" w14:textId="1FDE88A5">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IV. Türkiye’de ESG Uyumunun Hukuki Dayanağı</w:t>
      </w:r>
    </w:p>
    <w:p w:rsidR="604C242A" w:rsidP="304F246B" w:rsidRDefault="604C242A" w14:paraId="6C7B465B" w14:textId="456159A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Türkiye’de ESG uyumu, tek bir çerçeve kanun ile düzenlenmiş bir alan değildir. Şirketler bakımından bağlayıcı nitelik taşıyan düzenlemeler esas olarak Türkiye Sürdürülebilirlik Raporlama Standartları çerçevesinde şekillenmektedir. Türk Ticaret Kanunu ise bu yükümlülüklerin şirket yönetimi ve ticari davranış standartları bakımından nasıl değerlendirilmesi gerektiğini belirleyen genel hukuki zemini oluşturmaktadır.</w:t>
      </w:r>
    </w:p>
    <w:p w:rsidR="604C242A" w:rsidP="304F246B" w:rsidRDefault="604C242A" w14:paraId="6B7C1D50" w14:textId="12DC6B01">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A. Türkiye Sürdürülebilirlik Raporlama Standartları (TSRS)</w:t>
      </w:r>
    </w:p>
    <w:p w:rsidR="604C242A" w:rsidP="304F246B" w:rsidRDefault="604C242A" w14:paraId="22FC7373" w14:textId="422C9E65">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Türkiye Sürdürülebilirlik Raporlama Standartları (“TSRS”), belirli şirketler bakımından sürdürülebilirlik raporlamasını zorunlu hâle getiren temel düzenleme niteliği taşımaktadır. Bir şirketin TSRS kapsamında zorunlu raporlama yükümlülüğüne tabi olabilmesi için öncelikle Kurul kararının üçüncü maddesinin birinci fıkrasında sayılan ve hadlere tabi olan işletmeler listesinde yer alan şirket türlerinden biri olması gerekmektedir. Bu liste, kamu yararını ilgilendiren kuruluşlar esas alınarak oluşturulmuştur.</w:t>
      </w:r>
    </w:p>
    <w:p w:rsidR="604C242A" w:rsidP="304F246B" w:rsidRDefault="604C242A" w14:paraId="43B9E62F" w14:textId="2BC7D523">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Buna ek olarak, şirketin aktif toplamı, yıllık net satış hasılatı ve çalışan sayısına ilişkin belirlenen ölçütlerden en az ikisini art arda iki raporlama döneminde aşması şartı aranmaktadır. Bu eşiklerin sağlanmaması hâlinde, şirket liste kapsamında yer alsa dahi zorunlu raporlama yükümlülüğü doğmamaktadır.</w:t>
      </w:r>
    </w:p>
    <w:p w:rsidR="604C242A" w:rsidP="304F246B" w:rsidRDefault="604C242A" w14:paraId="2FE9B2C0" w14:textId="6F42611C">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Bankalar bakımından ise farklı bir hukuki durum söz konusudur. 5411 sayılı Bankacılık Kanunu uyarınca Bankacılık Düzenleme ve Denetleme Kurumu’nun denetimine tabi bankalar, herhangi bir eşik değere bağlı olmaksızın zorunlu raporlama kapsamına dâhil edilmektedir. Tasarruf Mevduatı Sigorta Fonu (“TMSF”) bünyesinde yer alan bankalar ise bu uygulama kapsamı dışında tutulmuştur.</w:t>
      </w:r>
    </w:p>
    <w:p w:rsidR="604C242A" w:rsidP="304F246B" w:rsidRDefault="604C242A" w14:paraId="7BE0594A" w14:textId="6B19F641">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Zorunlu kapsam dışında kalan şirketler bakımından TSRS’ye uygun raporlama yapılması mümkündür. Bu tür raporlamalar, hukuki bir yükümlülük doğurmamakla birlikte, yapılan açıklamaların beyan niteliği kazanması nedeniyle genel sorumluluk hükümleri kapsamında değerlendirmeye açık hâle gelmektedir.</w:t>
      </w:r>
    </w:p>
    <w:p w:rsidR="604C242A" w:rsidP="304F246B" w:rsidRDefault="604C242A" w14:paraId="7B7368A9" w14:textId="72898103">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B. Türk Ticaret Kanunu Açısından ESG</w:t>
      </w:r>
    </w:p>
    <w:p w:rsidR="604C242A" w:rsidP="304F246B" w:rsidRDefault="604C242A" w14:paraId="0A06DD2E" w14:textId="7A081C2F">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Türk Ticaret Kanunu’nda (“TTK”) ESG, sürdürülebilirlik veya iklim riski başlıkları altında doğrudan bir düzenleme yer almamaktadır. Bununla birlikte TTK, şirketlere ve tacirlere yüklenen genel davranış kuralları aracılığıyla ESG alanı ile dolaylı bir ilişki kurmaktadır.</w:t>
      </w:r>
    </w:p>
    <w:p w:rsidR="604C242A" w:rsidP="304F246B" w:rsidRDefault="604C242A" w14:paraId="27233B7D" w14:textId="24782670">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Tacirin basiretli davranma yükümlülüğü kapsamında, ticari faaliyetlerin öngörülebilir riskler dikkate alınarak yürütülmesi beklenmektedir. Bu hüküm, ESG’ye özgü bir raporlama veya uyum yükümlülüğü getirmemekle birlikte risk yönetimi standardını tanımlamaktadır.</w:t>
      </w:r>
    </w:p>
    <w:p w:rsidR="604C242A" w:rsidP="304F246B" w:rsidRDefault="604C242A" w14:paraId="5B0EE116" w14:textId="33B17DC2">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Ayrıca TTK’nın haksız rekabete ilişkin hükümleri, şirketlerin faaliyetleri hakkında gerçeğe aykırı veya yanıltıcı beyanlarda bulunmasını hukuka aykırı kabul etmektedir. Bu hükümler, sürdürülebilirlik raporu hazırlanmasını zorunlu kılmamakta; fakat yapılan açıklamaların doğru olmaması hâlinde hukuki sorumluluk doğmasına imkân vermektedir.</w:t>
      </w:r>
    </w:p>
    <w:p w:rsidR="604C242A" w:rsidP="304F246B" w:rsidRDefault="604C242A" w14:paraId="7053CCBF" w14:textId="61CBB257">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TTK çerçevesinde ESG, doğrudan düzenlenmiş bir alan değildir ve tek başına raporlama yükümlülüğü yaratmamaktadır. Ancak TSRS kapsamında yapılan açıklamaların şirket beyanı niteliği kazanması hâlinde genel hükümlerin uygulanmasına zemin hazırlamaktadır.</w:t>
      </w:r>
    </w:p>
    <w:p w:rsidR="604C242A" w:rsidP="304F246B" w:rsidRDefault="604C242A" w14:paraId="4C046001" w14:textId="77D3F7DC">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604C242A">
        <w:rPr>
          <w:rFonts w:ascii="Arial" w:hAnsi="Arial" w:eastAsia="Arial" w:cs="Arial" w:asciiTheme="minorAscii" w:hAnsiTheme="minorAscii" w:eastAsiaTheme="minorAscii" w:cstheme="minorAscii"/>
          <w:b w:val="1"/>
          <w:bCs w:val="1"/>
          <w:noProof w:val="0"/>
          <w:sz w:val="22"/>
          <w:szCs w:val="22"/>
          <w:lang w:val="tr-TR"/>
        </w:rPr>
        <w:t>V. Sonuç</w:t>
      </w:r>
    </w:p>
    <w:p w:rsidR="604C242A" w:rsidP="304F246B" w:rsidRDefault="604C242A" w14:paraId="78799F5C" w14:textId="6162F6B3">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604C242A">
        <w:rPr>
          <w:rFonts w:ascii="Arial" w:hAnsi="Arial" w:eastAsia="Arial" w:cs="Arial" w:asciiTheme="minorAscii" w:hAnsiTheme="minorAscii" w:eastAsiaTheme="minorAscii" w:cstheme="minorAscii"/>
          <w:noProof w:val="0"/>
          <w:sz w:val="22"/>
          <w:szCs w:val="22"/>
          <w:lang w:val="tr-TR"/>
        </w:rPr>
        <w:t>Finansal kurumlar bakımından ESG uyumu, raporlama faaliyetinin ötesine geçen ve kredi, yatırım ile kurumsal yönetim süreçlerine doğrudan yansıyan bir hukuki sorumluluk alanı oluşturmaktadır. Uluslararası düzenlemeler ile Türkiye’deki TSRS uygulamaları birlikte değerlendirildiğinde, ESG kapsamında yapılan açıklamalar ve alınan kararlar denetim, yaptırım ve sorumluluk riskleri ile doğrudan ilişkilendirilmektedir. Bu çerçevede ESG uyumu, finansal kurumlar açısından risk yönetimi ve yönetsel sorumluluğun ayrılmaz bir parçası olarak ele alınmalıdır.</w:t>
      </w:r>
    </w:p>
    <w:p w:rsidR="304F246B" w:rsidP="304F246B" w:rsidRDefault="304F246B" w14:paraId="2AB09ED8" w14:textId="4ABC923D">
      <w:pPr>
        <w:spacing w:before="240"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p>
    <w:p xmlns:wp14="http://schemas.microsoft.com/office/word/2010/wordml" w:rsidP="304F246B" wp14:paraId="4A00759B" wp14:textId="2D51D84A">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44ECC5E4" wp14:textId="4A43D33C">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r w:rsidRPr="304F246B">
        <w:rPr>
          <w:rFonts w:ascii="Arial" w:hAnsi="Arial" w:eastAsia="Arial" w:cs="Arial" w:asciiTheme="minorAscii" w:hAnsiTheme="minorAscii" w:eastAsiaTheme="minorAscii" w:cstheme="minorAscii"/>
          <w:color w:val="auto"/>
          <w:sz w:val="22"/>
          <w:szCs w:val="22"/>
        </w:rPr>
        <w:br w:type="page"/>
      </w:r>
    </w:p>
    <w:p xmlns:wp14="http://schemas.microsoft.com/office/word/2010/wordml" w:rsidP="304F246B" wp14:paraId="7520F763" wp14:textId="7E30A758">
      <w:pPr>
        <w:spacing w:before="240" w:beforeAutospacing="off" w:after="240" w:afterAutospacing="off" w:line="276" w:lineRule="auto"/>
        <w:ind/>
        <w:jc w:val="both"/>
        <w:rPr>
          <w:rFonts w:ascii="Arial" w:hAnsi="Arial" w:eastAsia="Arial" w:cs="Arial" w:asciiTheme="minorAscii" w:hAnsiTheme="minorAscii" w:eastAsiaTheme="minorAscii" w:cstheme="minorAscii"/>
          <w:b w:val="1"/>
          <w:bCs w:val="1"/>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YEŞİL YATIRIMLAR VE HUKUKİ RİSK: ESG DUE DILIGENCE’DA NELERE DİKKAT EDİLMELİ?</w:t>
      </w:r>
    </w:p>
    <w:p xmlns:wp14="http://schemas.microsoft.com/office/word/2010/wordml" w:rsidP="304F246B" wp14:paraId="32DF1BC5" wp14:textId="13EA0785">
      <w:pPr>
        <w:spacing w:before="240" w:beforeAutospacing="off" w:after="240" w:afterAutospacing="off" w:line="276" w:lineRule="auto"/>
        <w:ind/>
        <w:jc w:val="both"/>
        <w:rPr>
          <w:rFonts w:ascii="Arial" w:hAnsi="Arial" w:eastAsia="Arial" w:cs="Arial" w:asciiTheme="minorAscii" w:hAnsiTheme="minorAscii" w:eastAsiaTheme="minorAscii" w:cstheme="minorAscii"/>
          <w:b w:val="1"/>
          <w:bCs w:val="1"/>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EYLÜL 2025</w:t>
      </w:r>
    </w:p>
    <w:p xmlns:wp14="http://schemas.microsoft.com/office/word/2010/wordml" w:rsidP="304F246B" wp14:paraId="69DB6E45" wp14:textId="32988094">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Yeşil yatırımlar kavramı, küresel ölçekte iklim değişikliği ve sürdürülebilirlik gündemiyle birlikte iş dünyasının merkezine yerleşmiştir. Yatırımcılar artık yalnızca finansal getirilere değil, yatırımlarının çevresel ve sosyal etkilerine de odaklanmaktadır. Bu noktada ESG due diligence, diğer bir ifadeyle çevresel, sosyal ve yönetişim faktörleri açısından özenli inceleme, hem yatırımları yönlendirenler hem de şirketler için kritik bir süreç hâline gelmiştir.</w:t>
      </w:r>
    </w:p>
    <w:p xmlns:wp14="http://schemas.microsoft.com/office/word/2010/wordml" w:rsidP="304F246B" wp14:paraId="216CCF47" wp14:textId="2F5D9F9C">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Peki ESG nedir ve neden önemlidir? ESG, şirketlerin çevresel, sosyal ve yönetişim alanlarındaki performansını değerlendiren kriterler bütünüdür. Kısaca; bir işletmenin çevreye etkileri, topluma karşı sorumlulukları ve kurumsal yönetim yapısı incelenerek sürdürülebilirlik perspektifinden risk ve fırsatlar analiz edilir. Bu kapsamda karbon emisyonları, atık yönetimi, enerji kullanımı, çalışan hakları, iş güvenliği, topluluk ilişkileri, yönetim kurulu yapısı, şeffaflık, etik kurallar ve iç kontrol mekanizmaları gibi hususlar değerlendirilir.</w:t>
      </w:r>
    </w:p>
    <w:p xmlns:wp14="http://schemas.microsoft.com/office/word/2010/wordml" w:rsidP="304F246B" wp14:paraId="26C1BA6B" wp14:textId="58812626">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Bu makalede, ESG odaklı yatırımların neden önemli olduğu, Türkiye’de ve dünyada bu alandaki güncel hukuki düzenlemeler ve ESG due diligence sürecinde dikkat edilmesi gereken temel noktalar ele alınacaktır. Özellikle yeşil yatırım yapmak isteyen şirket ve fonlar için hukuki risklerin önceden tespiti ve yönetimi büyük önem taşımaktadır. Türkiye bağlamında güncel mevzuat, örneğin Sermaye Piyasası Kurulu düzenlemeleri, sürdürülebilirlik raporlama standartları ve yeni İklim Kanunu incelenerek iş dünyasının nelere hazırlıklı olması gerektiği değerlendirilecektir.</w:t>
      </w:r>
    </w:p>
    <w:p xmlns:wp14="http://schemas.microsoft.com/office/word/2010/wordml" w:rsidP="304F246B" wp14:paraId="41AC762E" wp14:textId="4E96D15F">
      <w:pPr>
        <w:spacing w:before="240" w:beforeAutospacing="off" w:after="240" w:afterAutospacing="off" w:line="276" w:lineRule="auto"/>
        <w:ind/>
        <w:jc w:val="both"/>
        <w:rPr>
          <w:rFonts w:ascii="Arial" w:hAnsi="Arial" w:eastAsia="Arial" w:cs="Arial" w:asciiTheme="minorAscii" w:hAnsiTheme="minorAscii" w:eastAsiaTheme="minorAscii" w:cstheme="minorAscii"/>
          <w:b w:val="1"/>
          <w:bCs w:val="1"/>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ESG Nedir ve Neden Önemli?</w:t>
      </w:r>
    </w:p>
    <w:p xmlns:wp14="http://schemas.microsoft.com/office/word/2010/wordml" w:rsidP="304F246B" wp14:paraId="0145A70E" wp14:textId="1A5D705A">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ESG kriterleri, bir şirketin yalnızca finansal performansını değil, topluma ve çevreye karşı sorumluluklarını da yansıtır. Çevresel boyut, şirketlerin iklim değişikliği ile mücadele, karbon ayak izi, enerji verimliliği, atık ve kirlilik kontrolü gibi konulardaki performansını ifade eder. Sosyal boyut, şirketin çalışanlarına, müşterilerine ve içinde bulunduğu topluma yönelik uygulamalarını kapsar; iş sağlığı ve güvenliği, çalışan hakları, toplumsal cinsiyet eşitliği, tedarik zincirindeki çalışma koşulları gibi unsurlar bu kategoriye girer. Yönetişim boyutu ise şirketin iç denetim mekanizmalarını, yönetim kurulunun yapısını, şeffaflık ve etik iş uygulamalarını içerir. Kısacası ESG, bir şirketin sürdürülebilirlik alanındaki performansını üç temel başlıkta ölçmeyi amaçlar.</w:t>
      </w:r>
    </w:p>
    <w:p xmlns:wp14="http://schemas.microsoft.com/office/word/2010/wordml" w:rsidP="304F246B" wp14:paraId="6F3F056D" wp14:textId="1111FFF8">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Son yıllarda ESG kriterleri, küresel yatırım trendlerini belirleyen önemli bir ölçüt hâline gelmiştir. 2020’lerde dünya genelinde sürdürülebilir yatırım fonlarına rekor düzeyde sermaye akışı olmuştur. Yatırımcılar, iklim krizi, gelir eşitsizliği, işçi hakları ihlalleri gibi sorunlara karşı duyarlı davranan şirketleri tercih etme eğilimindedir. Bunun yanında düzenleyici otoriteler de şirketlerin ESG performansını artırmaları için baskı uygulamaktadır. Örneğin Avrupa Birliği, sürdürülebilir finans konusunda bir dizi zorunlu raporlama ve due diligence yükümlülüğü getirmiştir. ABD’de Sermaye Piyasası Kurulu (“SEC”), şirketlerden iklim risklerini ve sürdürülebilirlik verilerini açıklamalarını talep eden kurallar hazırlamaktadır. İsviçre’de ise yürürlüğe giren düzenlemeler, sorumlu iş uygulamaları için insan hakları ve çevre due diligence yükümlülükleri getirerek uyumsuzluk hâlinde cezai yaptırımlar öngörmüştür. Tüm bu gelişmeler, ESG performansını yüksek tutmanın artık bir tercih meselesi değil, yasal ve stratejik bir zorunluluk hâline geldiğini göstermektedir.</w:t>
      </w:r>
    </w:p>
    <w:p xmlns:wp14="http://schemas.microsoft.com/office/word/2010/wordml" w:rsidP="304F246B" wp14:paraId="7DE67FA4" wp14:textId="08B4D1E3">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Türkiye’de de ESG alanında farkındalık ve düzenlemeler artış göstermektedir. 2021 yılında Ticaret Bakanlığı koordinasyonunda hazırlanan Yeşil Mutabakat Eylem Planı, AB’nin Yeşil Mutabakatı’na uyum sağlamak ve çeşitli sektörlerde çevresel sürdürülebilirliği teşvik etmek için önemli adımlar içermektedir. Ardından 2022’de Sermaye Piyasası Kurulu (“SPK”), halka açık şirketler için Kurumsal Yönetim İlkeleri’ni güncelleyerek ESG faktörlerini daha görünür hâle getirmiştir. Aynı dönemde Türkiye, uluslararası finans dünyasında kabul gören sürdürülebilirlik raporlama standartlarını, yani ISSB standartlarını benimseme kararı alarak ulusal düzeyde Türkiye Sürdürülebilirlik Raporlama Standartları (“TSRS”) setini oluşturmuştur. Kamu Gözetimi Kurumu’nun 2023 yıl sonu kararı ile büyük işletmelere kademeli olarak sürdürülebilirlik raporlaması zorunluluğu getirilmiştir; aktif toplamı, net satış hasılatı ve çalışan sayısı belirli eşikleri aşan şirketler artık finansal raporlarıyla birlikte ESG performanslarını da raporlamak durumundadır.</w:t>
      </w:r>
    </w:p>
    <w:p xmlns:wp14="http://schemas.microsoft.com/office/word/2010/wordml" w:rsidP="304F246B" wp14:paraId="53FD679B" wp14:textId="0BE75E8D">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Bu gelişmelere ek olarak, Türkiye 2021’de Paris İklim Anlaşması’nı onaylamış ve 2053 yılı için net sıfır emisyon hedefi ilan etmiştir. Bu hedefler doğrultusunda hazırlanan İklim Kanunu, Temmuz 2025’te yürürlüğe girmiştir. İklim Kanunu ile sera gazı emisyonlarının azaltılmasına ilişkin ulusal hedefler yasal zemine kavuşmuş ve Emisyon Ticaret Sistemi’nin (“ETS”) kurulmasının önü açılmıştır. Kanun, yüksek emisyonlu sektörler başta olmak üzere kamu ve özel sektöre karbon emisyonlarını izleme, azaltma ve raporlama yükümlülükleri getirmektedir. Ayrıca Kanun, Türkiye Yeşil Taksonomisi oluşturulması, yeşil yatırımların teşviki ve sınırda karbon düzenlemesi gibi konularda idari düzenlemelerin yapılacağını öngörmektedir. İlgili ikincil mevzuatlar üzerinde çalışmalar devam etmektedir; 2025 yılının ikinci yarısında yeşil finansmana ilişkin dinamik düzenlemelerin gelmesi beklenmektedir. Tüm bunlar, şirketlerin çevresel yükümlülüklerinin yakın gelecekte daha da artacağını göstermektedir.</w:t>
      </w:r>
    </w:p>
    <w:p xmlns:wp14="http://schemas.microsoft.com/office/word/2010/wordml" w:rsidP="304F246B" wp14:paraId="7F22E2AE" wp14:textId="075DCAEB">
      <w:pPr>
        <w:spacing w:before="240" w:beforeAutospacing="off" w:after="240" w:afterAutospacing="off" w:line="276" w:lineRule="auto"/>
        <w:ind/>
        <w:jc w:val="both"/>
        <w:rPr>
          <w:rFonts w:ascii="Arial" w:hAnsi="Arial" w:eastAsia="Arial" w:cs="Arial" w:asciiTheme="minorAscii" w:hAnsiTheme="minorAscii" w:eastAsiaTheme="minorAscii" w:cstheme="minorAscii"/>
          <w:b w:val="1"/>
          <w:bCs w:val="1"/>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ESG Due Diligence: Hukuki Riskler ve Fırsatlar</w:t>
      </w:r>
    </w:p>
    <w:p xmlns:wp14="http://schemas.microsoft.com/office/word/2010/wordml" w:rsidP="304F246B" wp14:paraId="3BD39D98" wp14:textId="13A4AD75">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ESG due diligence, bir yatırımı veya şirket satın alımını değerlendirirken klasik finansal ve hukuki incelemelere ek olarak çevresel, sosyal ve yönetişim risklerini de mercek altına almayı ifade eder. Geleneksel bir satın alma sürecinde hukuki due diligence ile şirketin sözleşmeleri, dava ve borç yükü, izin ve lisans durumu incelenir. ESG boyutu ise bunun ötesine geçerek şirketin çevreye zarar verme potansiyelini, toplumsal itibarını ve yönetim kalitesini inceler.</w:t>
      </w:r>
    </w:p>
    <w:p xmlns:wp14="http://schemas.microsoft.com/office/word/2010/wordml" w:rsidP="304F246B" wp14:paraId="7732F64F" wp14:textId="57B3D242">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Böyle bir inceleme neden kritik önemdedir? Çünkü ihmal edilen ESG riskleri, sonradan ciddi finansal ve hukuki sonuçlar doğurabilir. Örneğin çevre mevzuatına aykırı faaliyetler, izinsiz atık boşaltma veya emisyon limitlerini aşma gibi durumlar tespit edilmezse, yatırımcı sonradan yüksek idari para cezalarıyla ve temizleme yükümlülükleriyle karşılaşabilir. Risk kavramı burada belirleyici önemdedir; ESG due diligence’ın özünde risk azaltma amacı yer alır.</w:t>
      </w:r>
    </w:p>
    <w:p xmlns:wp14="http://schemas.microsoft.com/office/word/2010/wordml" w:rsidP="304F246B" wp14:paraId="7E8E6952" wp14:textId="07599755">
      <w:pPr>
        <w:pStyle w:val="ListParagraph"/>
        <w:numPr>
          <w:ilvl w:val="0"/>
          <w:numId w:val="7"/>
        </w:num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Çevresel riskler:</w:t>
      </w:r>
      <w:r w:rsidRPr="304F246B" w:rsidR="5657C968">
        <w:rPr>
          <w:rFonts w:ascii="Arial" w:hAnsi="Arial" w:eastAsia="Arial" w:cs="Arial" w:asciiTheme="minorAscii" w:hAnsiTheme="minorAscii" w:eastAsiaTheme="minorAscii" w:cstheme="minorAscii"/>
          <w:noProof w:val="0"/>
          <w:sz w:val="22"/>
          <w:szCs w:val="22"/>
          <w:lang w:val="tr-TR"/>
        </w:rPr>
        <w:t xml:space="preserve"> Şirketin faaliyetlerinin neden olabileceği çevresel zararlar veya geçmişte bırakılmış çevre kirliliği, devralan yatırımcı için büyük bir yük olabilir. Örneğin satın alınan fabrikanın arazisinde toksik atık bulunması, yeni sahibine temizleme sorumluluğu getirebilir. İklim değişikliğiyle mücadele kapsamındaki karbon düzenlemeleri de şirketin karbon yoğun faaliyetlerini mali risk hâline getirebilir. Örneğin AB’nin Sınırda Karbon Düzenleme Mekanizması (“SKDM”), karbon yoğun ihracata ek maliyet getirecektir.</w:t>
      </w:r>
    </w:p>
    <w:p xmlns:wp14="http://schemas.microsoft.com/office/word/2010/wordml" w:rsidP="304F246B" wp14:paraId="12629515" wp14:textId="2F7E0829">
      <w:pPr>
        <w:pStyle w:val="ListParagraph"/>
        <w:numPr>
          <w:ilvl w:val="0"/>
          <w:numId w:val="7"/>
        </w:num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Sosyal riskler:</w:t>
      </w:r>
      <w:r w:rsidRPr="304F246B" w:rsidR="5657C968">
        <w:rPr>
          <w:rFonts w:ascii="Arial" w:hAnsi="Arial" w:eastAsia="Arial" w:cs="Arial" w:asciiTheme="minorAscii" w:hAnsiTheme="minorAscii" w:eastAsiaTheme="minorAscii" w:cstheme="minorAscii"/>
          <w:noProof w:val="0"/>
          <w:sz w:val="22"/>
          <w:szCs w:val="22"/>
          <w:lang w:val="tr-TR"/>
        </w:rPr>
        <w:t xml:space="preserve"> İşyerinde iş sağlığı ve güvenliği önlemlerinin yetersiz olması, ileride iş kazaları ve tazminat davaları anlamına gelebilir. Benzer şekilde, tedarik zincirinde çocuk işçi çalıştırılması veya zorla çalıştırma gibi insan hakları ihlalleri, markanın itibarını zedeleyip boykotlara yol açabilir. Sosyal sorumluluk alanında kötü bir sicil, şirketin kamuoyu nezdinde değer kaybetmesine neden olur.</w:t>
      </w:r>
    </w:p>
    <w:p xmlns:wp14="http://schemas.microsoft.com/office/word/2010/wordml" w:rsidP="304F246B" wp14:paraId="0CDECCEF" wp14:textId="157D6E39">
      <w:pPr>
        <w:pStyle w:val="ListParagraph"/>
        <w:numPr>
          <w:ilvl w:val="0"/>
          <w:numId w:val="7"/>
        </w:num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Yönetişim riskleri:</w:t>
      </w:r>
      <w:r w:rsidRPr="304F246B" w:rsidR="5657C968">
        <w:rPr>
          <w:rFonts w:ascii="Arial" w:hAnsi="Arial" w:eastAsia="Arial" w:cs="Arial" w:asciiTheme="minorAscii" w:hAnsiTheme="minorAscii" w:eastAsiaTheme="minorAscii" w:cstheme="minorAscii"/>
          <w:noProof w:val="0"/>
          <w:sz w:val="22"/>
          <w:szCs w:val="22"/>
          <w:lang w:val="tr-TR"/>
        </w:rPr>
        <w:t xml:space="preserve"> Zayıf kurumsal yönetim, yolsuzluk ve rüşvet riskini artırır. Yatırım yapılacak şirketin rüşvet soruşturması altında olması veya rekabet hukuku kurallarını ihlal eden uygulamalara sahip olması, devralanlar bakımından ağır idari para cezaları ve sözleşme fesihleriyle sonuçlanabilir. Örneğin bir şirketin yolsuzluk nedeniyle önemli bir müşterisiyle sözleşmesinin feshedilmesi, bu durumun şirket değerlemesini olumsuz etkilemesine neden olur. Nitekim, rüşvetle mücadele kurallarına uymayan bir şirket, ağır para cezalarına ve büyük iş kayıplarına maruz kalabilir; bu da şirketin fiyatlandırılması üzerinde doğrudan etki yaratır.</w:t>
      </w:r>
    </w:p>
    <w:p xmlns:wp14="http://schemas.microsoft.com/office/word/2010/wordml" w:rsidP="304F246B" wp14:paraId="2E1BB0E8" wp14:textId="48C46C2A">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Tüm bu riskler, ESG konularına yeterince önem vermeyen şirketlerin finansal performansının yanında itibarını da olumsuz etkileyebileceğini göstermektedir. Uluslararası alanda Volkswagen’in emisyon skandalı, British Petroleum’un Deepwater Horizon çevre felaketi veya bazı moda markalarının tedarik zincirinde ortaya çıkan işçi sömürüsü vakaları, ESG eksikliklerinin milyarlarca dolarlık zararlara ve onarılması güç güven kayıplarına yol açabildiğini göstermiştir. Bu nedenle yatırımcılar ve satın alıcılar, artık potansiyel hedefler üzerinde ESG incelemesini standart sürecin bir parçası hâline getirmektedir. Hatta önümüzdeki dönemde birleşme ve devralma işlemlerinde ESG unsurlarının çok daha belirleyici olacağı öngörülmektedir.</w:t>
      </w:r>
    </w:p>
    <w:p xmlns:wp14="http://schemas.microsoft.com/office/word/2010/wordml" w:rsidP="304F246B" wp14:paraId="617F6225" wp14:textId="19E5D7CA">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Bir başka önemli boyut da yeşil aklama, diğer bir ifadeyle greenwashing riskidir. Bazı şirketler, gerçekte operasyonları sürdürülebilir olmadığı hâlde kendilerini “yeşil” gösteren pazarlama stratejileri izleyebilir. Yatırımcılar için bu tür aldatıcı uygulamalara karşı dikkatli olmak önemlidir. Zira son yıllarda çeşitli düzenleyici kurumlar, yanıltıcı sürdürülebilirlik iddialarında bulunan şirketlere ve fonlara karşı incelemeler başlatmaktadır. Örneğin Avrupa’da bankacılık ve finans sektöründe yeşil aklama tespitine yönelik ciddi yaptırımlar gündeme gelmiştir. Bu da ESG due diligence sürecinde, şirketin beyan ettiği sürdürülebilirlik performansının gerçeklerle tutarlı olup olmadığının araştırılmasını gerekli kılar.</w:t>
      </w:r>
    </w:p>
    <w:p xmlns:wp14="http://schemas.microsoft.com/office/word/2010/wordml" w:rsidP="304F246B" wp14:paraId="763DAF13" wp14:textId="0CF5DE5C">
      <w:pPr>
        <w:spacing w:before="240" w:beforeAutospacing="off" w:after="240" w:afterAutospacing="off" w:line="276" w:lineRule="auto"/>
        <w:ind/>
        <w:jc w:val="both"/>
        <w:rPr>
          <w:rFonts w:ascii="Arial" w:hAnsi="Arial" w:eastAsia="Arial" w:cs="Arial" w:asciiTheme="minorAscii" w:hAnsiTheme="minorAscii" w:eastAsiaTheme="minorAscii" w:cstheme="minorAscii"/>
          <w:b w:val="1"/>
          <w:bCs w:val="1"/>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ESG DUE DILIGENCE SÜRECİNDE DİKKAT EDİLMESİ GEREKENLER</w:t>
      </w:r>
    </w:p>
    <w:p xmlns:wp14="http://schemas.microsoft.com/office/word/2010/wordml" w:rsidP="304F246B" wp14:paraId="09E2991D" wp14:textId="0599D4C1">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ESG odaklı bir inceleme yaparken, şirketin faaliyetlerini bütüncül bir yaklaşımla değerlendirmek gerekir. Aşağıda, yatırım öncesi ESG incelemesinde üzerinde durulması gereken başlıca noktalar sıralanmıştır:</w:t>
      </w:r>
    </w:p>
    <w:p xmlns:wp14="http://schemas.microsoft.com/office/word/2010/wordml" w:rsidP="304F246B" wp14:paraId="772A68E1" wp14:textId="40F1D0F0">
      <w:pPr>
        <w:pStyle w:val="ListParagraph"/>
        <w:numPr>
          <w:ilvl w:val="0"/>
          <w:numId w:val="6"/>
        </w:num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Çevresel Uyumluluk ve Sürdürülebilirlik:</w:t>
      </w:r>
      <w:r w:rsidRPr="304F246B" w:rsidR="5657C968">
        <w:rPr>
          <w:rFonts w:ascii="Arial" w:hAnsi="Arial" w:eastAsia="Arial" w:cs="Arial" w:asciiTheme="minorAscii" w:hAnsiTheme="minorAscii" w:eastAsiaTheme="minorAscii" w:cstheme="minorAscii"/>
          <w:noProof w:val="0"/>
          <w:sz w:val="22"/>
          <w:szCs w:val="22"/>
          <w:lang w:val="tr-TR"/>
        </w:rPr>
        <w:t xml:space="preserve"> Şirketin tabi olduğu çevre mevzuatına, örneğin çevre izinleri, atık yönetimi, hava kalitesi ve su kullanımı gibi yükümlülüklere uyup uymadığı incelenmelidir. Geçmişte çevre cezası alıp almadığı, Çevresel Etki Değerlendirmesi (“ÇED”) raporu gerektiren projelerde gerekli onayları alıp almadığı kontrol edilmelidir. Ayrıca şirketin karbon emisyonları, enerji verimliliği politikaları, yenilenebilir enerji kullanımı gibi iklim dostu uygulamaları değerlendirilmelidir. Yakın gelecekte uygulanacak karbon fiyatlandırma mekanizmaları ve emisyon ticaret sistemi gibi düzenlemelerin şirketi nasıl etkileyeceği de analiz edilmelidir.</w:t>
      </w:r>
    </w:p>
    <w:p xmlns:wp14="http://schemas.microsoft.com/office/word/2010/wordml" w:rsidP="304F246B" wp14:paraId="0C7698EF" wp14:textId="178BA376">
      <w:pPr>
        <w:pStyle w:val="ListParagraph"/>
        <w:numPr>
          <w:ilvl w:val="0"/>
          <w:numId w:val="6"/>
        </w:num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İşçi Hakları ve Sosyal Sorumluluk:</w:t>
      </w:r>
      <w:r w:rsidRPr="304F246B" w:rsidR="5657C968">
        <w:rPr>
          <w:rFonts w:ascii="Arial" w:hAnsi="Arial" w:eastAsia="Arial" w:cs="Arial" w:asciiTheme="minorAscii" w:hAnsiTheme="minorAscii" w:eastAsiaTheme="minorAscii" w:cstheme="minorAscii"/>
          <w:noProof w:val="0"/>
          <w:sz w:val="22"/>
          <w:szCs w:val="22"/>
          <w:lang w:val="tr-TR"/>
        </w:rPr>
        <w:t xml:space="preserve"> Şirketin çalışma koşulları, iş sağlığı ve güvenliği uygulamaları ile çalışan eğitim programları incelenmelidir. İş hukuku ve ilgili mevzuata uyum düzeyi, örneğin fazla mesai ödemeleri ve sendikal haklar, gözden geçirilmelidir. Eğer şirket tedarik zincirine sahipse, tedarikçilerinin de asgari sosyal standartlara riayet edip etmediği önemlidir. Zira CSDD, diğer bir ifadeyle Kurumsal Sürdürülebilirlik Özen Yükümlülüğü gibi yeni AB kuralları, büyük şirketlere tedarik zincirlerinde insan hakları ihlallerini önleme yükümlülüğü getirmektedir. Şirketin toplumsal cinsiyet eşitliği, çeşitlilik ve kapsayıcılık politikaları da sosyal boyutta değerlidir.</w:t>
      </w:r>
    </w:p>
    <w:p xmlns:wp14="http://schemas.microsoft.com/office/word/2010/wordml" w:rsidP="304F246B" wp14:paraId="47203E09" wp14:textId="6CE862F9">
      <w:pPr>
        <w:pStyle w:val="ListParagraph"/>
        <w:numPr>
          <w:ilvl w:val="0"/>
          <w:numId w:val="6"/>
        </w:num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Yönetişim ve Etik Uygulamalar:</w:t>
      </w:r>
      <w:r w:rsidRPr="304F246B" w:rsidR="5657C968">
        <w:rPr>
          <w:rFonts w:ascii="Arial" w:hAnsi="Arial" w:eastAsia="Arial" w:cs="Arial" w:asciiTheme="minorAscii" w:hAnsiTheme="minorAscii" w:eastAsiaTheme="minorAscii" w:cstheme="minorAscii"/>
          <w:noProof w:val="0"/>
          <w:sz w:val="22"/>
          <w:szCs w:val="22"/>
          <w:lang w:val="tr-TR"/>
        </w:rPr>
        <w:t xml:space="preserve"> Şirketin kurumsal yönetim yapısı incelenerek yönetim kurulunun işlevselliği, bağımsız üye bulunup bulunmadığı, iç denetim ve risk yönetimi sistemlerinin etkinliği tespit edilmelidir. Rüşvet ve yolsuzlukla mücadele programlarının, etik kuralların ve uyum politikalarının mevcut olup olmadığı; bunların yalnızca kâğıt üzerinde kalmayıp etkin şekilde uygulanıp uygulanmadığı değerlendirilmelidir. Özellikle uluslararası faaliyet gösteren şirketlerde, ABD Yabancı Yolsuzlukla Mücadele Yasası (“FCPA”) veya İngiltere Rüşvet Yasası gibi mevzuata tabi olabilecek hususlar değerlendirilmeli, şirketin geçmişte bu alanlarda soruşturma geçirip geçirmediği araştırılmalıdır.</w:t>
      </w:r>
    </w:p>
    <w:p xmlns:wp14="http://schemas.microsoft.com/office/word/2010/wordml" w:rsidP="304F246B" wp14:paraId="24580487" wp14:textId="08BB4E25">
      <w:pPr>
        <w:pStyle w:val="ListParagraph"/>
        <w:numPr>
          <w:ilvl w:val="0"/>
          <w:numId w:val="6"/>
        </w:num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Yasal Uyum ve Geleceğe Hazırlık:</w:t>
      </w:r>
      <w:r w:rsidRPr="304F246B" w:rsidR="5657C968">
        <w:rPr>
          <w:rFonts w:ascii="Arial" w:hAnsi="Arial" w:eastAsia="Arial" w:cs="Arial" w:asciiTheme="minorAscii" w:hAnsiTheme="minorAscii" w:eastAsiaTheme="minorAscii" w:cstheme="minorAscii"/>
          <w:noProof w:val="0"/>
          <w:sz w:val="22"/>
          <w:szCs w:val="22"/>
          <w:lang w:val="tr-TR"/>
        </w:rPr>
        <w:t xml:space="preserve"> Hâlihazırda yürürlükte olan SPK’nın sürdürülebilirlik ilkeleri gibi düzenlemelere uyum durumu gözden geçirilmelidir. Halka açık bir şirket ise SPK’nın 2022’de güncellediği Kurumsal Yönetim İlkeleri çerçevesinde çevresel ve sosyal risklerle ilgili kamuya açıklamalar yapıp yapmadığı önemlidir. Halka açık değilse dahi, yakın gelecekte finansman veya halka arz planı varsa, Türkiye Sürdürülebilirlik Raporlama Standartları (“TSRS”) kapsamına girip girmeyeceği değerlendirilmelidir. Örneğin aktif büyüklüğü, ciro ve çalışan sayısı eşiği aşılıyorsa birkaç yıl içinde sürdürülebilirlik raporu yayımlaması gerekebilecektir. Ayrıca Temmuz 2025’te yürürlüğe giren İklim Kanunu’nun getirdiği yükümlülükler, emisyon azaltım planları ve ileride gündeme gelebilecek karbon beyanı gibi hususlar bakımından şirketin hazırlıklı olup olmadığına bakılmalıdır. Zira Kanun kapsamındaki ihlallerde 50 milyon TL’ye varan idari para cezaları öngörülmektedir.</w:t>
      </w:r>
    </w:p>
    <w:p xmlns:wp14="http://schemas.microsoft.com/office/word/2010/wordml" w:rsidP="304F246B" wp14:paraId="09D8869C" wp14:textId="31A097E0">
      <w:pPr>
        <w:pStyle w:val="ListParagraph"/>
        <w:numPr>
          <w:ilvl w:val="0"/>
          <w:numId w:val="6"/>
        </w:num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İtibar Analizi:</w:t>
      </w:r>
      <w:r w:rsidRPr="304F246B" w:rsidR="5657C968">
        <w:rPr>
          <w:rFonts w:ascii="Arial" w:hAnsi="Arial" w:eastAsia="Arial" w:cs="Arial" w:asciiTheme="minorAscii" w:hAnsiTheme="minorAscii" w:eastAsiaTheme="minorAscii" w:cstheme="minorAscii"/>
          <w:noProof w:val="0"/>
          <w:sz w:val="22"/>
          <w:szCs w:val="22"/>
          <w:lang w:val="tr-TR"/>
        </w:rPr>
        <w:t xml:space="preserve"> Şirketin kamuoyundaki algısı ve paydaşlarıyla ilişkileri de due diligence kapsamında değerlendirilmelidir. Medyada şirket hakkında çıkan haberler taranarak ciddi bir çevre skandalına karışıp karışmadığı, toplumsal tepki çekmiş uygulamalarının, örneğin bir maden şirketi ise çevre protestolarının, olup olmadığı araştırılmalıdır. İtibar kaybı, finansal kayıp kadar önemli olabilir; zira günümüzde tüketiciler çevreye duyarlı ve etik şirketleri tercih etmektedir. Bu nedenle yatırım kararı öncesinde şirketin paydaş haritasını ve itibar risklerini anlamak önemlidir.</w:t>
      </w:r>
    </w:p>
    <w:p xmlns:wp14="http://schemas.microsoft.com/office/word/2010/wordml" w:rsidP="304F246B" wp14:paraId="6133E6D9" wp14:textId="66737074">
      <w:pPr>
        <w:spacing w:before="240" w:beforeAutospacing="off" w:after="240" w:afterAutospacing="off" w:line="276" w:lineRule="auto"/>
        <w:ind/>
        <w:jc w:val="both"/>
        <w:rPr>
          <w:rFonts w:ascii="Arial" w:hAnsi="Arial" w:eastAsia="Arial" w:cs="Arial" w:asciiTheme="minorAscii" w:hAnsiTheme="minorAscii" w:eastAsiaTheme="minorAscii" w:cstheme="minorAscii"/>
          <w:b w:val="1"/>
          <w:bCs w:val="1"/>
          <w:noProof w:val="0"/>
          <w:sz w:val="22"/>
          <w:szCs w:val="22"/>
          <w:lang w:val="tr-TR"/>
        </w:rPr>
      </w:pPr>
      <w:r w:rsidRPr="304F246B" w:rsidR="5657C968">
        <w:rPr>
          <w:rFonts w:ascii="Arial" w:hAnsi="Arial" w:eastAsia="Arial" w:cs="Arial" w:asciiTheme="minorAscii" w:hAnsiTheme="minorAscii" w:eastAsiaTheme="minorAscii" w:cstheme="minorAscii"/>
          <w:b w:val="1"/>
          <w:bCs w:val="1"/>
          <w:noProof w:val="0"/>
          <w:sz w:val="22"/>
          <w:szCs w:val="22"/>
          <w:lang w:val="tr-TR"/>
        </w:rPr>
        <w:t>Sonuç</w:t>
      </w:r>
    </w:p>
    <w:p xmlns:wp14="http://schemas.microsoft.com/office/word/2010/wordml" w:rsidP="304F246B" wp14:paraId="49398115" wp14:textId="1E3F2E82">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ESG kriterleri, yatırımların yeni standartları hâline gelmektedir. Yeşil yatırımlar olarak adlandırılan sürdürülebilirlik odaklı yatırımlar, yalnızca vicdani bir tercih değil, aynı zamanda uzun vadeli getirileri korumanın bir yoludur. Zira çevresel ve sosyal riskleri yüksek olan bir proje veya şirket, ileride beklenmedik maliyetlerle karşılaşabilir ve yatırımcıyı zarara uğratabilir. Bu bağlamda ESG due diligence, yatırımların sigortası gibidir; tıpkı finansal risk analizi gibi çevresel ve sosyal risk analizi de yaparak karar vericilere daha kapsamlı bir perspektif sunar.</w:t>
      </w:r>
    </w:p>
    <w:p xmlns:wp14="http://schemas.microsoft.com/office/word/2010/wordml" w:rsidP="304F246B" wp14:paraId="32DF6E5E" wp14:textId="259D5374">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Türkiye’de gerek düzenleyici adımlar gerekse piyasa dinamikleri, şirketleri daha sürdürülebilir ve şeffaf olmaya yönlendirmektedir. SPK’nın kurumsal yönetim düzenlemelerinden İklim Kanunu’na, sürdürülebilirlik raporlama standartlarından uluslararası tedarik zinciri sorumluluklarına kadar geniş bir yelpazede yeni kurallar şekillenmektedir. Bu süreçte hukuki risk yönetimi, şirketlerin başarıyla yol alabilmesi için kritik bir unsur olacaktır. Yeşil yatırımlara girişen kurumların, mevzuata uyum, itibar yönetimi ve risk azaltma dengesini iyi kurması gerekmektedir.</w:t>
      </w:r>
    </w:p>
    <w:p xmlns:wp14="http://schemas.microsoft.com/office/word/2010/wordml" w:rsidP="304F246B" wp14:paraId="048D563B" wp14:textId="2898ECE8">
      <w:pPr>
        <w:spacing w:before="240" w:beforeAutospacing="off" w:after="240" w:afterAutospacing="off" w:line="276" w:lineRule="auto"/>
        <w:ind/>
        <w:jc w:val="both"/>
        <w:rPr>
          <w:rFonts w:ascii="Arial" w:hAnsi="Arial" w:eastAsia="Arial" w:cs="Arial" w:asciiTheme="minorAscii" w:hAnsiTheme="minorAscii" w:eastAsiaTheme="minorAscii" w:cstheme="minorAscii"/>
          <w:noProof w:val="0"/>
          <w:sz w:val="22"/>
          <w:szCs w:val="22"/>
          <w:lang w:val="tr-TR"/>
        </w:rPr>
      </w:pPr>
      <w:r w:rsidRPr="304F246B" w:rsidR="5657C968">
        <w:rPr>
          <w:rFonts w:ascii="Arial" w:hAnsi="Arial" w:eastAsia="Arial" w:cs="Arial" w:asciiTheme="minorAscii" w:hAnsiTheme="minorAscii" w:eastAsiaTheme="minorAscii" w:cstheme="minorAscii"/>
          <w:noProof w:val="0"/>
          <w:sz w:val="22"/>
          <w:szCs w:val="22"/>
          <w:lang w:val="tr-TR"/>
        </w:rPr>
        <w:t>Unutulmamalıdır ki bir yatırım ne kadar “yeşil” görünürse görünsün, arka plandaki eksikler ve uyumsuzluklar gelecekte ciddi sorunlara yol açabilir. Doğru yapılmış bir ESG due diligence, bu eksikleri önceden görüp düzeltme imkânı sağlar. Sonuç olarak, sürdürülebilirlik çağında yatırım yapmak isteyenler için ESG merceği vazgeçilmez hâle gelmiştir. Şirketler hem çevrenin geleceğine hem kendi geleceklerine yatırım yaparken, hukuki çerçeveyi ve toplumsal beklentileri göz ardı etmemelidir. Bu sayede hem çevreye ve topluma karşı sorumluluklarını yerine getirebilir hem de uzun vadede daha dayanıklı ve itibarlı bir iş modeli inşa edebilirler.</w:t>
      </w:r>
    </w:p>
    <w:p xmlns:wp14="http://schemas.microsoft.com/office/word/2010/wordml" w:rsidP="304F246B" wp14:paraId="6BEED003" wp14:textId="19F5FF35">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4B4DD693" wp14:textId="2B31ED61">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r w:rsidRPr="304F246B">
        <w:rPr>
          <w:rFonts w:ascii="Arial" w:hAnsi="Arial" w:eastAsia="Arial" w:cs="Arial" w:asciiTheme="minorAscii" w:hAnsiTheme="minorAscii" w:eastAsiaTheme="minorAscii" w:cstheme="minorAscii"/>
          <w:color w:val="auto"/>
          <w:sz w:val="22"/>
          <w:szCs w:val="22"/>
        </w:rPr>
        <w:br w:type="page"/>
      </w:r>
    </w:p>
    <w:p w:rsidR="35FD8DC9" w:rsidP="304F246B" w:rsidRDefault="35FD8DC9" w14:paraId="3B44DF3A" w14:textId="277159FD">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5FD8DC9">
        <w:rPr>
          <w:rFonts w:ascii="Arial" w:hAnsi="Arial" w:eastAsia="Arial" w:cs="Arial" w:asciiTheme="minorAscii" w:hAnsiTheme="minorAscii" w:eastAsiaTheme="minorAscii" w:cstheme="minorAscii"/>
          <w:b w:val="1"/>
          <w:bCs w:val="1"/>
          <w:noProof w:val="0"/>
          <w:sz w:val="22"/>
          <w:szCs w:val="22"/>
          <w:lang w:val="tr-TR"/>
        </w:rPr>
        <w:t>SÜRDÜRÜLEBİLİRLİK ODAKLI ŞİRKETLERİN YATIRIMCI GÖZÜNDEKİ DEĞERİ NEDEN ARTIYOR?</w:t>
      </w:r>
    </w:p>
    <w:p w:rsidR="35FD8DC9" w:rsidP="304F246B" w:rsidRDefault="35FD8DC9" w14:paraId="70555A6A" w14:textId="7C3136FE">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 xml:space="preserve">Sermaye piyasalarında şirket değerini belirleyen unsurlar kâr marjı ya da nakit akışıyla sınırlı değildir. Yatırımcıların giderek daha fazla önem verdiği kriterlerden biri, şirketlerin sürdürülebilirlik yaklaşımıdır. Bu değişim, Morgan Stanley’nin 2025 tarihli </w:t>
      </w:r>
      <w:r w:rsidRPr="304F246B" w:rsidR="35FD8DC9">
        <w:rPr>
          <w:rFonts w:ascii="Arial" w:hAnsi="Arial" w:eastAsia="Arial" w:cs="Arial" w:asciiTheme="minorAscii" w:hAnsiTheme="minorAscii" w:eastAsiaTheme="minorAscii" w:cstheme="minorAscii"/>
          <w:i w:val="1"/>
          <w:iCs w:val="1"/>
          <w:noProof w:val="0"/>
          <w:sz w:val="22"/>
          <w:szCs w:val="22"/>
          <w:lang w:val="tr-TR"/>
        </w:rPr>
        <w:t>Sustainable Signals: Individual Investors</w:t>
      </w:r>
      <w:r w:rsidRPr="304F246B" w:rsidR="35FD8DC9">
        <w:rPr>
          <w:rFonts w:ascii="Arial" w:hAnsi="Arial" w:eastAsia="Arial" w:cs="Arial" w:asciiTheme="minorAscii" w:hAnsiTheme="minorAscii" w:eastAsiaTheme="minorAscii" w:cstheme="minorAscii"/>
          <w:noProof w:val="0"/>
          <w:sz w:val="22"/>
          <w:szCs w:val="22"/>
          <w:lang w:val="tr-TR"/>
        </w:rPr>
        <w:t xml:space="preserve"> raporunda da rakamlarla açık biçimde ortaya konulmaktadır.</w:t>
      </w:r>
    </w:p>
    <w:p w:rsidR="35FD8DC9" w:rsidP="304F246B" w:rsidRDefault="35FD8DC9" w14:paraId="518A4D88" w14:textId="2ABA405A">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5FD8DC9">
        <w:rPr>
          <w:rFonts w:ascii="Arial" w:hAnsi="Arial" w:eastAsia="Arial" w:cs="Arial" w:asciiTheme="minorAscii" w:hAnsiTheme="minorAscii" w:eastAsiaTheme="minorAscii" w:cstheme="minorAscii"/>
          <w:b w:val="1"/>
          <w:bCs w:val="1"/>
          <w:noProof w:val="0"/>
          <w:sz w:val="22"/>
          <w:szCs w:val="22"/>
          <w:lang w:val="tr-TR"/>
        </w:rPr>
        <w:t>Yatırımcı İlgisini Güçlendiren Faktörler</w:t>
      </w:r>
    </w:p>
    <w:p w:rsidR="35FD8DC9" w:rsidP="304F246B" w:rsidRDefault="35FD8DC9" w14:paraId="14F70A26" w14:textId="7FB6D45C">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Araştırmaya göre küresel yatırımcıların %88’i sürdürülebilir yatırımlara ilgi göstermektedir. Genç kuşaklarda bu oran daha da yüksektir: Z kuşağında %99, Y kuşağında ise %97. Bu tablo, önümüzdeki yıllarda sermaye akışlarının yönünün genç neslin tercihleriyle şekilleneceğine işaret etmektedir.</w:t>
      </w:r>
    </w:p>
    <w:p w:rsidR="35FD8DC9" w:rsidP="304F246B" w:rsidRDefault="35FD8DC9" w14:paraId="0BBD3652" w14:textId="100E2302">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Portföyünü büyütmeyi planlayan yatırımcıların %59’u, sürdürülebilir yatırımların rekabetçi getiri potansiyeline güvenmektedir. Katılımcıların %80’i ise çevresel ve sosyal faydanın finansal kazançla birlikte mümkün olduğunu düşünmektedir. Bu bakış açısı, sürdürülebilirliği yalnızca etik bir tercih değil, doğrudan değer yaratan bir strateji hâline getirmektedir.</w:t>
      </w:r>
    </w:p>
    <w:p w:rsidR="35FD8DC9" w:rsidP="304F246B" w:rsidRDefault="35FD8DC9" w14:paraId="3C343510" w14:textId="188C7371">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5FD8DC9">
        <w:rPr>
          <w:rFonts w:ascii="Arial" w:hAnsi="Arial" w:eastAsia="Arial" w:cs="Arial" w:asciiTheme="minorAscii" w:hAnsiTheme="minorAscii" w:eastAsiaTheme="minorAscii" w:cstheme="minorAscii"/>
          <w:b w:val="1"/>
          <w:bCs w:val="1"/>
          <w:noProof w:val="0"/>
          <w:sz w:val="22"/>
          <w:szCs w:val="22"/>
          <w:lang w:val="tr-TR"/>
        </w:rPr>
        <w:t>Şirketlerin Yatırımcı Gözündeki Konumu</w:t>
      </w:r>
    </w:p>
    <w:p w:rsidR="35FD8DC9" w:rsidP="304F246B" w:rsidRDefault="35FD8DC9" w14:paraId="333B105A" w14:textId="1B12530F">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Enerji dönüşümü bu eğilimin merkezinde yer almaktadır. Yatırımcıların %80’inden fazlası, yenilenebilir enerji ve enerji verimliliğini büyüme fırsatı olarak değerlendirmektedir. Ayrıca %60’ı, güvenilir karbonsuzlaşma planı olmayan enerji şirketlerine yatırım yapmayacağını ifade etmektedir. Net sıfır hedefleri bu nedenle yatırım yapılabilirlik açısından kritik bir eşik hâline gelmiştir.</w:t>
      </w:r>
    </w:p>
    <w:p w:rsidR="35FD8DC9" w:rsidP="304F246B" w:rsidRDefault="35FD8DC9" w14:paraId="43893E0C" w14:textId="45B9B877">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Bununla birlikte şeffaflık konusu, yatırımcı güveni açısından öne çıkmaktadır. Katılımcıların yaklaşık %70’i, raporlanan verilerin güvenilirliği ve yeşil aklama riskinden endişe duymaktadır. Bu nedenle hedeflerini ölçülebilir şekilde ortaya koyan, bağımsız doğrulama süreçleriyle güvence sağlayan ve düzenli raporlama yapan şirketler, yatırımcıların gözünde daha sağlam bir konuma yerleşmektedir.</w:t>
      </w:r>
    </w:p>
    <w:p w:rsidR="35FD8DC9" w:rsidP="304F246B" w:rsidRDefault="35FD8DC9" w14:paraId="11C348ED" w14:textId="6A5D6CCA">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5FD8DC9">
        <w:rPr>
          <w:rFonts w:ascii="Arial" w:hAnsi="Arial" w:eastAsia="Arial" w:cs="Arial" w:asciiTheme="minorAscii" w:hAnsiTheme="minorAscii" w:eastAsiaTheme="minorAscii" w:cstheme="minorAscii"/>
          <w:b w:val="1"/>
          <w:bCs w:val="1"/>
          <w:noProof w:val="0"/>
          <w:sz w:val="22"/>
          <w:szCs w:val="22"/>
          <w:lang w:val="tr-TR"/>
        </w:rPr>
        <w:t>Kısa Değerlendirme</w:t>
      </w:r>
    </w:p>
    <w:p w:rsidR="35FD8DC9" w:rsidP="304F246B" w:rsidRDefault="35FD8DC9" w14:paraId="2D5ABAEB" w14:textId="17C90B3F">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Morgan Stanley verileri, sürdürülebilirlik odaklı şirketlerin değer artışının arkasındaki nedenleri açıkça göstermektedir: İlgi küresel ölçekte güçlüdür, genç kuşakların etkisi belirgindir, performansa duyulan güven artmaktadır ve enerji dönüşümü yatırımcıların öncelikli alanıdır. Üstelik şeffaflık ve güvenilir raporlama, şirketlerin piyasa değerinde doğrudan rol oynamaktadır.</w:t>
      </w:r>
    </w:p>
    <w:p w:rsidR="35FD8DC9" w:rsidP="304F246B" w:rsidRDefault="35FD8DC9" w14:paraId="10A46374" w14:textId="41803630">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Bu tablo, sürdürülebilirlik stratejisini iş modeline entegre eden şirketlerin hem finansal piyasalarda hem de toplum nezdinde geleceğin kazananları arasında yer aldığını ortaya koymaktadır. Hukuki açıdan bakıldığında ise bu yaklaşım, şeffaf raporlama ve hesap verebilirlik sayesinde şirketlerin hem yatırımcı güveni hem de uyum yükümlülükleri açısından daha sağlam bir zeminde konumlanmasını sağlamaktadır.</w:t>
      </w:r>
    </w:p>
    <w:p w:rsidR="35FD8DC9" w:rsidP="304F246B" w:rsidRDefault="35FD8DC9" w14:paraId="382ADC79" w14:textId="4A8D5565">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b w:val="1"/>
          <w:bCs w:val="1"/>
          <w:noProof w:val="0"/>
          <w:sz w:val="22"/>
          <w:szCs w:val="22"/>
          <w:lang w:val="tr-TR"/>
        </w:rPr>
        <w:t>Kaynak:</w:t>
      </w:r>
      <w:r w:rsidRPr="304F246B" w:rsidR="35FD8DC9">
        <w:rPr>
          <w:rFonts w:ascii="Arial" w:hAnsi="Arial" w:eastAsia="Arial" w:cs="Arial" w:asciiTheme="minorAscii" w:hAnsiTheme="minorAscii" w:eastAsiaTheme="minorAscii" w:cstheme="minorAscii"/>
          <w:noProof w:val="0"/>
          <w:sz w:val="22"/>
          <w:szCs w:val="22"/>
          <w:lang w:val="tr-TR"/>
        </w:rPr>
        <w:t xml:space="preserve"> Morgan Stanley Institute for Sustainable Investing, </w:t>
      </w:r>
      <w:r w:rsidRPr="304F246B" w:rsidR="35FD8DC9">
        <w:rPr>
          <w:rFonts w:ascii="Arial" w:hAnsi="Arial" w:eastAsia="Arial" w:cs="Arial" w:asciiTheme="minorAscii" w:hAnsiTheme="minorAscii" w:eastAsiaTheme="minorAscii" w:cstheme="minorAscii"/>
          <w:i w:val="1"/>
          <w:iCs w:val="1"/>
          <w:noProof w:val="0"/>
          <w:sz w:val="22"/>
          <w:szCs w:val="22"/>
          <w:lang w:val="tr-TR"/>
        </w:rPr>
        <w:t>Sustainable Signals: Individual Investors 2025</w:t>
      </w:r>
      <w:r w:rsidRPr="304F246B" w:rsidR="35FD8DC9">
        <w:rPr>
          <w:rFonts w:ascii="Arial" w:hAnsi="Arial" w:eastAsia="Arial" w:cs="Arial" w:asciiTheme="minorAscii" w:hAnsiTheme="minorAscii" w:eastAsiaTheme="minorAscii" w:cstheme="minorAscii"/>
          <w:noProof w:val="0"/>
          <w:sz w:val="22"/>
          <w:szCs w:val="22"/>
          <w:lang w:val="tr-TR"/>
        </w:rPr>
        <w:t>.</w:t>
      </w:r>
    </w:p>
    <w:p w:rsidR="304F246B" w:rsidP="304F246B" w:rsidRDefault="304F246B" w14:paraId="429CD739" w14:textId="39F19D7D">
      <w:pPr>
        <w:spacing w:after="240" w:afterAutospacing="off"/>
        <w:jc w:val="both"/>
        <w:rPr>
          <w:rFonts w:ascii="Arial" w:hAnsi="Arial" w:eastAsia="Arial" w:cs="Arial" w:asciiTheme="minorAscii" w:hAnsiTheme="minorAscii" w:eastAsiaTheme="minorAscii" w:cstheme="minorAscii"/>
          <w:sz w:val="22"/>
          <w:szCs w:val="22"/>
        </w:rPr>
      </w:pPr>
    </w:p>
    <w:p w:rsidR="35FD8DC9" w:rsidP="304F246B" w:rsidRDefault="35FD8DC9" w14:paraId="13060DBD" w14:textId="66CC5A93">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5FD8DC9">
        <w:rPr>
          <w:rFonts w:ascii="Arial" w:hAnsi="Arial" w:eastAsia="Arial" w:cs="Arial" w:asciiTheme="minorAscii" w:hAnsiTheme="minorAscii" w:eastAsiaTheme="minorAscii" w:cstheme="minorAscii"/>
          <w:b w:val="1"/>
          <w:bCs w:val="1"/>
          <w:noProof w:val="0"/>
          <w:sz w:val="22"/>
          <w:szCs w:val="22"/>
          <w:lang w:val="tr-TR"/>
        </w:rPr>
        <w:t>WHY IS THE VALUE OF SUSTAINABILITY-ORIENTED COMPANIES INCREASING IN THE EYES OF INVESTORS?</w:t>
      </w:r>
    </w:p>
    <w:p w:rsidR="35FD8DC9" w:rsidP="304F246B" w:rsidRDefault="35FD8DC9" w14:paraId="52AEE94D" w14:textId="3E196B4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 xml:space="preserve">In capital markets, the factors that determine company value are not limited to profit margins or cash flow. One of the criteria to which investors increasingly attach importance is companies’ approach to sustainability. This change is clearly reflected in the figures presented in Morgan Stanley’s 2025 report, </w:t>
      </w:r>
      <w:r w:rsidRPr="304F246B" w:rsidR="35FD8DC9">
        <w:rPr>
          <w:rFonts w:ascii="Arial" w:hAnsi="Arial" w:eastAsia="Arial" w:cs="Arial" w:asciiTheme="minorAscii" w:hAnsiTheme="minorAscii" w:eastAsiaTheme="minorAscii" w:cstheme="minorAscii"/>
          <w:i w:val="1"/>
          <w:iCs w:val="1"/>
          <w:noProof w:val="0"/>
          <w:sz w:val="22"/>
          <w:szCs w:val="22"/>
          <w:lang w:val="tr-TR"/>
        </w:rPr>
        <w:t>Sustainable Signals: Individual Investors</w:t>
      </w:r>
      <w:r w:rsidRPr="304F246B" w:rsidR="35FD8DC9">
        <w:rPr>
          <w:rFonts w:ascii="Arial" w:hAnsi="Arial" w:eastAsia="Arial" w:cs="Arial" w:asciiTheme="minorAscii" w:hAnsiTheme="minorAscii" w:eastAsiaTheme="minorAscii" w:cstheme="minorAscii"/>
          <w:noProof w:val="0"/>
          <w:sz w:val="22"/>
          <w:szCs w:val="22"/>
          <w:lang w:val="tr-TR"/>
        </w:rPr>
        <w:t>.</w:t>
      </w:r>
    </w:p>
    <w:p w:rsidR="35FD8DC9" w:rsidP="304F246B" w:rsidRDefault="35FD8DC9" w14:paraId="585BF68F" w14:textId="519A58C2">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5FD8DC9">
        <w:rPr>
          <w:rFonts w:ascii="Arial" w:hAnsi="Arial" w:eastAsia="Arial" w:cs="Arial" w:asciiTheme="minorAscii" w:hAnsiTheme="minorAscii" w:eastAsiaTheme="minorAscii" w:cstheme="minorAscii"/>
          <w:b w:val="1"/>
          <w:bCs w:val="1"/>
          <w:noProof w:val="0"/>
          <w:sz w:val="22"/>
          <w:szCs w:val="22"/>
          <w:lang w:val="tr-TR"/>
        </w:rPr>
        <w:t>Factors Strengthening Investor Interest</w:t>
      </w:r>
    </w:p>
    <w:p w:rsidR="35FD8DC9" w:rsidP="304F246B" w:rsidRDefault="35FD8DC9" w14:paraId="724934ED" w14:textId="137121FE">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According to the research, 88% of global investors show interest in sustainable investments. Among younger generations, this rate is even higher: 99% for Generation Z and 97% for Generation Y. This indicates that, in the coming years, the direction of capital flows will be shaped by the preferences of younger generations.</w:t>
      </w:r>
    </w:p>
    <w:p w:rsidR="35FD8DC9" w:rsidP="304F246B" w:rsidRDefault="35FD8DC9" w14:paraId="61EF16D1" w14:textId="0C6D8ECA">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Among investors planning to grow their portfolios, 59% trust the competitive return potential of sustainable investments. In addition, 80% of participants believe that environmental and social benefit can be achieved together with financial gain. This perspective turns sustainability not only into an ethical choice but also into a strategy that directly creates value.</w:t>
      </w:r>
    </w:p>
    <w:p w:rsidR="35FD8DC9" w:rsidP="304F246B" w:rsidRDefault="35FD8DC9" w14:paraId="3088671E" w14:textId="39C2C4D7">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5FD8DC9">
        <w:rPr>
          <w:rFonts w:ascii="Arial" w:hAnsi="Arial" w:eastAsia="Arial" w:cs="Arial" w:asciiTheme="minorAscii" w:hAnsiTheme="minorAscii" w:eastAsiaTheme="minorAscii" w:cstheme="minorAscii"/>
          <w:b w:val="1"/>
          <w:bCs w:val="1"/>
          <w:noProof w:val="0"/>
          <w:sz w:val="22"/>
          <w:szCs w:val="22"/>
          <w:lang w:val="tr-TR"/>
        </w:rPr>
        <w:t>Companies’ Position in the Eyes of Investors</w:t>
      </w:r>
    </w:p>
    <w:p w:rsidR="35FD8DC9" w:rsidP="304F246B" w:rsidRDefault="35FD8DC9" w14:paraId="67628D48" w14:textId="1F5DFAF5">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The energy transition is at the centre of this trend. More than 80% of investors see renewable energy and energy efficiency as growth opportunities. In addition, 60% state that they would not invest in energy companies without a credible decarbonisation plan. For this reason, net-zero targets have become a critical threshold for investability.</w:t>
      </w:r>
    </w:p>
    <w:p w:rsidR="35FD8DC9" w:rsidP="304F246B" w:rsidRDefault="35FD8DC9" w14:paraId="4D871330" w14:textId="5FB63C1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In addition, transparency stands out in terms of investor confidence. Approximately 70% of participants are concerned about the reliability of reported data and the risk of greenwashing. Therefore, companies that set measurable targets, provide assurance through independent verification processes, and report regularly are placed in a stronger position in the eyes of investors.</w:t>
      </w:r>
    </w:p>
    <w:p w:rsidR="35FD8DC9" w:rsidP="304F246B" w:rsidRDefault="35FD8DC9" w14:paraId="63365794" w14:textId="28C6BAF5">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35FD8DC9">
        <w:rPr>
          <w:rFonts w:ascii="Arial" w:hAnsi="Arial" w:eastAsia="Arial" w:cs="Arial" w:asciiTheme="minorAscii" w:hAnsiTheme="minorAscii" w:eastAsiaTheme="minorAscii" w:cstheme="minorAscii"/>
          <w:b w:val="1"/>
          <w:bCs w:val="1"/>
          <w:noProof w:val="0"/>
          <w:sz w:val="22"/>
          <w:szCs w:val="22"/>
          <w:lang w:val="tr-TR"/>
        </w:rPr>
        <w:t>Brief Assessment</w:t>
      </w:r>
    </w:p>
    <w:p w:rsidR="35FD8DC9" w:rsidP="304F246B" w:rsidRDefault="35FD8DC9" w14:paraId="7584D9FF" w14:textId="79333380">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Morgan Stanley data clearly shows the reasons behind the increase in value of sustainability-oriented companies: interest is strong on a global scale, the influence of younger generations is evident, confidence in performance is increasing, and the energy transition is a priority area for investors. Moreover, transparency and reliable reporting play a direct role in companies’ market value.</w:t>
      </w:r>
    </w:p>
    <w:p w:rsidR="35FD8DC9" w:rsidP="304F246B" w:rsidRDefault="35FD8DC9" w14:paraId="71052DB9" w14:textId="2147FCB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noProof w:val="0"/>
          <w:sz w:val="22"/>
          <w:szCs w:val="22"/>
          <w:lang w:val="tr-TR"/>
        </w:rPr>
        <w:t>This picture reveals that companies integrating their sustainability strategy into their business model are among the future winners both in financial markets and in the eyes of society. From a legal perspective, this approach enables companies to be positioned on stronger ground in terms of both investor confidence and compliance obligations through transparent reporting and accountability.</w:t>
      </w:r>
    </w:p>
    <w:p w:rsidR="35FD8DC9" w:rsidP="304F246B" w:rsidRDefault="35FD8DC9" w14:paraId="577ADD84" w14:textId="5E917602">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35FD8DC9">
        <w:rPr>
          <w:rFonts w:ascii="Arial" w:hAnsi="Arial" w:eastAsia="Arial" w:cs="Arial" w:asciiTheme="minorAscii" w:hAnsiTheme="minorAscii" w:eastAsiaTheme="minorAscii" w:cstheme="minorAscii"/>
          <w:b w:val="1"/>
          <w:bCs w:val="1"/>
          <w:noProof w:val="0"/>
          <w:sz w:val="22"/>
          <w:szCs w:val="22"/>
          <w:lang w:val="tr-TR"/>
        </w:rPr>
        <w:t>Source:</w:t>
      </w:r>
      <w:r w:rsidRPr="304F246B" w:rsidR="35FD8DC9">
        <w:rPr>
          <w:rFonts w:ascii="Arial" w:hAnsi="Arial" w:eastAsia="Arial" w:cs="Arial" w:asciiTheme="minorAscii" w:hAnsiTheme="minorAscii" w:eastAsiaTheme="minorAscii" w:cstheme="minorAscii"/>
          <w:noProof w:val="0"/>
          <w:sz w:val="22"/>
          <w:szCs w:val="22"/>
          <w:lang w:val="tr-TR"/>
        </w:rPr>
        <w:t xml:space="preserve"> Morgan Stanley Institute for Sustainable Investing, </w:t>
      </w:r>
      <w:r w:rsidRPr="304F246B" w:rsidR="35FD8DC9">
        <w:rPr>
          <w:rFonts w:ascii="Arial" w:hAnsi="Arial" w:eastAsia="Arial" w:cs="Arial" w:asciiTheme="minorAscii" w:hAnsiTheme="minorAscii" w:eastAsiaTheme="minorAscii" w:cstheme="minorAscii"/>
          <w:i w:val="1"/>
          <w:iCs w:val="1"/>
          <w:noProof w:val="0"/>
          <w:sz w:val="22"/>
          <w:szCs w:val="22"/>
          <w:lang w:val="tr-TR"/>
        </w:rPr>
        <w:t>Sustainable Signals: Individual Investors 2025</w:t>
      </w:r>
      <w:r w:rsidRPr="304F246B" w:rsidR="35FD8DC9">
        <w:rPr>
          <w:rFonts w:ascii="Arial" w:hAnsi="Arial" w:eastAsia="Arial" w:cs="Arial" w:asciiTheme="minorAscii" w:hAnsiTheme="minorAscii" w:eastAsiaTheme="minorAscii" w:cstheme="minorAscii"/>
          <w:noProof w:val="0"/>
          <w:sz w:val="22"/>
          <w:szCs w:val="22"/>
          <w:lang w:val="tr-TR"/>
        </w:rPr>
        <w:t>.</w:t>
      </w:r>
    </w:p>
    <w:p w:rsidR="304F246B" w:rsidP="304F246B" w:rsidRDefault="304F246B" w14:paraId="4C07EF06" w14:textId="49473348">
      <w:pPr>
        <w:spacing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p>
    <w:p xmlns:wp14="http://schemas.microsoft.com/office/word/2010/wordml" w:rsidP="304F246B" wp14:paraId="4B34C27A" wp14:textId="24B81DAB">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283C3501" wp14:textId="15879C01">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r w:rsidRPr="304F246B">
        <w:rPr>
          <w:rFonts w:ascii="Arial" w:hAnsi="Arial" w:eastAsia="Arial" w:cs="Arial" w:asciiTheme="minorAscii" w:hAnsiTheme="minorAscii" w:eastAsiaTheme="minorAscii" w:cstheme="minorAscii"/>
          <w:color w:val="auto"/>
          <w:sz w:val="22"/>
          <w:szCs w:val="22"/>
        </w:rPr>
        <w:br w:type="page"/>
      </w:r>
    </w:p>
    <w:p w:rsidR="717DC098" w:rsidP="304F246B" w:rsidRDefault="717DC098" w14:paraId="29314E2C" w14:textId="3961330B">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717DC098">
        <w:rPr>
          <w:rFonts w:ascii="Arial" w:hAnsi="Arial" w:eastAsia="Arial" w:cs="Arial" w:asciiTheme="minorAscii" w:hAnsiTheme="minorAscii" w:eastAsiaTheme="minorAscii" w:cstheme="minorAscii"/>
          <w:b w:val="1"/>
          <w:bCs w:val="1"/>
          <w:noProof w:val="0"/>
          <w:sz w:val="22"/>
          <w:szCs w:val="22"/>
          <w:lang w:val="tr-TR"/>
        </w:rPr>
        <w:t>YEŞİL DÖNÜŞÜM YATIRIMLARININ VERGİSEL AVANTAJLARI NELERDİR?</w:t>
      </w:r>
    </w:p>
    <w:p w:rsidR="717DC098" w:rsidP="304F246B" w:rsidRDefault="717DC098" w14:paraId="2920C2ED" w14:textId="3609F448">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Yeşil dönüşüm, işletmelerin üretim süreçlerinde çevresel etkileri azaltmayı hedefleyen yatırımlar bütününü ifade eder.</w:t>
      </w:r>
    </w:p>
    <w:p w:rsidR="717DC098" w:rsidP="304F246B" w:rsidRDefault="717DC098" w14:paraId="6DAF2E32" w14:textId="329A75AC">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Bu kapsamda gerçekleştirilen yatırımlar; enerji verimliliği, atık yönetimi, karbon azaltımı ve kaynak kullanımının optimizasyonu gibi alanlarda yoğunlaşmaktadır.</w:t>
      </w:r>
    </w:p>
    <w:p w:rsidR="717DC098" w:rsidP="304F246B" w:rsidRDefault="717DC098" w14:paraId="42F334D3" w14:textId="0246FDA4">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Türkiye’de bu yatırımlar, çeşitli vergi kanunları ve teşvik mekanizmalarıyla desteklenmektedir.</w:t>
      </w:r>
    </w:p>
    <w:p w:rsidR="717DC098" w:rsidP="304F246B" w:rsidRDefault="717DC098" w14:paraId="32F8C360" w14:textId="3CC8030F">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717DC098">
        <w:rPr>
          <w:rFonts w:ascii="Arial" w:hAnsi="Arial" w:eastAsia="Arial" w:cs="Arial" w:asciiTheme="minorAscii" w:hAnsiTheme="minorAscii" w:eastAsiaTheme="minorAscii" w:cstheme="minorAscii"/>
          <w:b w:val="1"/>
          <w:bCs w:val="1"/>
          <w:noProof w:val="0"/>
          <w:sz w:val="22"/>
          <w:szCs w:val="22"/>
          <w:lang w:val="tr-TR"/>
        </w:rPr>
        <w:t>Vergisel Desteklerin Yasal Temeli</w:t>
      </w:r>
    </w:p>
    <w:p w:rsidR="717DC098" w:rsidP="304F246B" w:rsidRDefault="717DC098" w14:paraId="044B8580" w14:textId="715FC90F">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Çevre dostu üretim ve enerji verimliliğini teşvik etmek amacıyla Gelir Vergisi Kanunu, Kurumlar Vergisi Kanunu ve Yatırımlarda Devlet Yardımları Hakkında Karar kapsamında çeşitli düzenlemeler yapılmıştır.</w:t>
      </w:r>
    </w:p>
    <w:p w:rsidR="717DC098" w:rsidP="304F246B" w:rsidRDefault="717DC098" w14:paraId="74AE3DF1" w14:textId="5C3373F6">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Bu düzenlemeler, yeşil dönüşüm yatırımlarına dolaylı veya doğrudan vergi avantajı sağlayan araçlar sunmaktadır. İndirimli kurumlar vergisi oranı, yatırım katkı tutarı, gider indirimi ve KDV istisnası bu kapsamda öne çıkan uygulamalardır.</w:t>
      </w:r>
    </w:p>
    <w:p w:rsidR="717DC098" w:rsidP="304F246B" w:rsidRDefault="717DC098" w14:paraId="6F76FDEC" w14:textId="488B9067">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717DC098">
        <w:rPr>
          <w:rFonts w:ascii="Arial" w:hAnsi="Arial" w:eastAsia="Arial" w:cs="Arial" w:asciiTheme="minorAscii" w:hAnsiTheme="minorAscii" w:eastAsiaTheme="minorAscii" w:cstheme="minorAscii"/>
          <w:b w:val="1"/>
          <w:bCs w:val="1"/>
          <w:noProof w:val="0"/>
          <w:sz w:val="22"/>
          <w:szCs w:val="22"/>
          <w:lang w:val="tr-TR"/>
        </w:rPr>
        <w:t>İndirimli Kurumlar Vergisi</w:t>
      </w:r>
    </w:p>
    <w:p w:rsidR="717DC098" w:rsidP="304F246B" w:rsidRDefault="717DC098" w14:paraId="2D58A7BA" w14:textId="1C6580B7">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Kurumlar Vergisi Kanunu’nun 32/A maddesi, teşvik belgesine bağlanmış yatırımlardan elde edilen kazançlara indirimli kurumlar vergisi oranı uygulanmasına imkân tanımaktadır.</w:t>
      </w:r>
    </w:p>
    <w:p w:rsidR="717DC098" w:rsidP="304F246B" w:rsidRDefault="717DC098" w14:paraId="35FBA0B6" w14:textId="7731A2B4">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Bu maddeye göre, belirli kriterleri karşılayan çevre odaklı yatırımlar, örneğin enerji verimliliği veya karbon azaltımı sağlayan projeler, daha düşük kurumlar vergisi oranından yararlanabilir.</w:t>
      </w:r>
    </w:p>
    <w:p w:rsidR="717DC098" w:rsidP="304F246B" w:rsidRDefault="717DC098" w14:paraId="2FE05EA1" w14:textId="03D65514">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Başka bir ifadeyle, işletmenin yatırımına devlet desteği sağlanmışsa kurumlar vergisi bakımından belirli oranda indirim uygulanabilir.</w:t>
      </w:r>
    </w:p>
    <w:p w:rsidR="717DC098" w:rsidP="304F246B" w:rsidRDefault="717DC098" w14:paraId="7AC07790" w14:textId="49CE9156">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717DC098">
        <w:rPr>
          <w:rFonts w:ascii="Arial" w:hAnsi="Arial" w:eastAsia="Arial" w:cs="Arial" w:asciiTheme="minorAscii" w:hAnsiTheme="minorAscii" w:eastAsiaTheme="minorAscii" w:cstheme="minorAscii"/>
          <w:b w:val="1"/>
          <w:bCs w:val="1"/>
          <w:noProof w:val="0"/>
          <w:sz w:val="22"/>
          <w:szCs w:val="22"/>
          <w:lang w:val="tr-TR"/>
        </w:rPr>
        <w:t>Gelir ve Kurumlar Vergisi Kapsamındaki İndirimler</w:t>
      </w:r>
    </w:p>
    <w:p w:rsidR="717DC098" w:rsidP="304F246B" w:rsidRDefault="717DC098" w14:paraId="5E715574" w14:textId="4FCE28B4">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Yeşil dönüşüm projelerinde yapılan bazı harcamalar, vergi matrahından indirilebilmektedir.</w:t>
      </w:r>
    </w:p>
    <w:p w:rsidR="717DC098" w:rsidP="304F246B" w:rsidRDefault="717DC098" w14:paraId="5D64B6B9" w14:textId="7899C2E4">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Enerji etütleri, çevre dostu üretim sistemleri, atık azaltma teknolojileri, karbon ayak izi ölçüm yazılımları, danışmanlık ve raporlama giderleri bu kapsama girebilmektedir.</w:t>
      </w:r>
    </w:p>
    <w:p w:rsidR="717DC098" w:rsidP="304F246B" w:rsidRDefault="717DC098" w14:paraId="47C84085" w14:textId="61F6FE9B">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Gelir Vergisi Kanunu’nun 89. maddesi ve Kurumlar Vergisi Kanunu’nun 10. maddesi, belirli şartların sağlanması hâlinde bazı harcamaların beyanname üzerinden indirilebilmesine imkân tanımaktadır.</w:t>
      </w:r>
    </w:p>
    <w:p w:rsidR="717DC098" w:rsidP="304F246B" w:rsidRDefault="717DC098" w14:paraId="626789CA" w14:textId="46B1F54D">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717DC098">
        <w:rPr>
          <w:rFonts w:ascii="Arial" w:hAnsi="Arial" w:eastAsia="Arial" w:cs="Arial" w:asciiTheme="minorAscii" w:hAnsiTheme="minorAscii" w:eastAsiaTheme="minorAscii" w:cstheme="minorAscii"/>
          <w:b w:val="1"/>
          <w:bCs w:val="1"/>
          <w:noProof w:val="0"/>
          <w:sz w:val="22"/>
          <w:szCs w:val="22"/>
          <w:lang w:val="tr-TR"/>
        </w:rPr>
        <w:t>Enerji Verimliliği ve Çevre Yatırımlarına Yönelik Düzenlemeler</w:t>
      </w:r>
    </w:p>
    <w:p w:rsidR="717DC098" w:rsidP="304F246B" w:rsidRDefault="717DC098" w14:paraId="621B331D" w14:textId="4A0206C6">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Enerji Verimliliği Kanunu, sanayi tesislerinde enerji tüketimini azaltan projelere hibe ve destek sağlanmasına imkân tanımaktadır.</w:t>
      </w:r>
    </w:p>
    <w:p w:rsidR="717DC098" w:rsidP="304F246B" w:rsidRDefault="717DC098" w14:paraId="7E72AAE9" w14:textId="2E390FD7">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Yatırımın teknik incelemesini tamamlayan işletmeler, onaylanmış projeler üzerinden hibe veya destek hakkı elde edebilmektedir.</w:t>
      </w:r>
    </w:p>
    <w:p w:rsidR="717DC098" w:rsidP="304F246B" w:rsidRDefault="717DC098" w14:paraId="0A382179" w14:textId="26D08878">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Çevre Kanunu ise arıtma tesisi kuran veya sıfır atık uygulamalarını hayata geçiren işletmelere elektrik tarifelerinde indirim olanağı tanımaktadır.</w:t>
      </w:r>
    </w:p>
    <w:p w:rsidR="717DC098" w:rsidP="304F246B" w:rsidRDefault="717DC098" w14:paraId="633F6203" w14:textId="4BCBED97">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Bu düzenlemeler, çevresel etkisi düşük üretim modellerini desteklerken işletmelere önemli mali avantajlar sağlamaktadır.</w:t>
      </w:r>
    </w:p>
    <w:p w:rsidR="717DC098" w:rsidP="304F246B" w:rsidRDefault="717DC098" w14:paraId="08B5CE09" w14:textId="2017032A">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717DC098">
        <w:rPr>
          <w:rFonts w:ascii="Arial" w:hAnsi="Arial" w:eastAsia="Arial" w:cs="Arial" w:asciiTheme="minorAscii" w:hAnsiTheme="minorAscii" w:eastAsiaTheme="minorAscii" w:cstheme="minorAscii"/>
          <w:b w:val="1"/>
          <w:bCs w:val="1"/>
          <w:noProof w:val="0"/>
          <w:sz w:val="22"/>
          <w:szCs w:val="22"/>
          <w:lang w:val="tr-TR"/>
        </w:rPr>
        <w:t>Yatırım Teşvik Sistemleriyle Entegre Destek</w:t>
      </w:r>
    </w:p>
    <w:p w:rsidR="717DC098" w:rsidP="304F246B" w:rsidRDefault="717DC098" w14:paraId="3D6BC71C" w14:textId="6C9406A8">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2012/3305 sayılı Yatırımlarda Devlet Yardımları Hakkında Karar, çevresel etkisi düşük, enerji verimliliği yüksek ve kaynak yönetimini geliştiren yatırımların teşvik edilmesini öngörmektedir.</w:t>
      </w:r>
    </w:p>
    <w:p w:rsidR="717DC098" w:rsidP="304F246B" w:rsidRDefault="717DC098" w14:paraId="4BA489FC" w14:textId="2B1311E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Bu tür projeler, şartların sağlanması hâlinde bölgesel yatırım veya stratejik yatırım statüsüne alınabilmektedir.</w:t>
      </w:r>
    </w:p>
    <w:p w:rsidR="717DC098" w:rsidP="304F246B" w:rsidRDefault="717DC098" w14:paraId="459AF23C" w14:textId="2423F4F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Bu statüler, yatırımcıya KDV istisnası, gümrük vergisi muafiyeti, vergi indirimi, SGK işveren hissesi desteği ve yatırım yeri tahsisi gibi avantajlar sağlayabilmektedir.</w:t>
      </w:r>
    </w:p>
    <w:p w:rsidR="717DC098" w:rsidP="304F246B" w:rsidRDefault="717DC098" w14:paraId="0F15B61F" w14:textId="5B83EE1B">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Destek oranı, yatırımın türüne, büyüklüğüne ve bulunduğu bölgeye göre değişiklik göstermektedir.</w:t>
      </w:r>
    </w:p>
    <w:p w:rsidR="717DC098" w:rsidP="304F246B" w:rsidRDefault="717DC098" w14:paraId="65894255" w14:textId="0DEB7768">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717DC098">
        <w:rPr>
          <w:rFonts w:ascii="Arial" w:hAnsi="Arial" w:eastAsia="Arial" w:cs="Arial" w:asciiTheme="minorAscii" w:hAnsiTheme="minorAscii" w:eastAsiaTheme="minorAscii" w:cstheme="minorAscii"/>
          <w:b w:val="1"/>
          <w:bCs w:val="1"/>
          <w:noProof w:val="0"/>
          <w:sz w:val="22"/>
          <w:szCs w:val="22"/>
          <w:lang w:val="tr-TR"/>
        </w:rPr>
        <w:t>Genel Değerlendirme</w:t>
      </w:r>
    </w:p>
    <w:p w:rsidR="717DC098" w:rsidP="304F246B" w:rsidRDefault="717DC098" w14:paraId="3EF87AAC" w14:textId="33A6EF2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Yeşil dönüşüm yatırımlarına yönelik vergi düzenlemeleri, çevreye duyarlı üretim süreçlerini teşvik etmeyi ve işletmelerin dönüşüm maliyetini azaltmayı hedeflemektedir.</w:t>
      </w:r>
    </w:p>
    <w:p w:rsidR="717DC098" w:rsidP="304F246B" w:rsidRDefault="717DC098" w14:paraId="0F72D750" w14:textId="56AE20DA">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Bu kapsamda kurumlar vergisinde indirimli oran uygulanması, belirli harcamaların gider veya indirim olarak dikkate alınması ve teşvik belgeleriyle sağlanan vergi istisna ve muafiyetleri öne çıkmaktadır.</w:t>
      </w:r>
    </w:p>
    <w:p w:rsidR="717DC098" w:rsidP="304F246B" w:rsidRDefault="717DC098" w14:paraId="317F32D4" w14:textId="5404967E">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Düzenlemelerin kapsamı, yatırımın niteliğine ve ilgili kurumların değerlendirmesine göre değişmektedir.</w:t>
      </w:r>
    </w:p>
    <w:p w:rsidR="717DC098" w:rsidP="304F246B" w:rsidRDefault="717DC098" w14:paraId="6F7A0C32" w14:textId="3755DB06">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717DC098">
        <w:rPr>
          <w:rFonts w:ascii="Arial" w:hAnsi="Arial" w:eastAsia="Arial" w:cs="Arial" w:asciiTheme="minorAscii" w:hAnsiTheme="minorAscii" w:eastAsiaTheme="minorAscii" w:cstheme="minorAscii"/>
          <w:noProof w:val="0"/>
          <w:sz w:val="22"/>
          <w:szCs w:val="22"/>
          <w:lang w:val="tr-TR"/>
        </w:rPr>
        <w:t>Bu nedenle, her yatırımın yararlanabileceği vergi avantajı farklı olabilir ve uygulamaya geçmeden önce konuya ilişkin hukuki destek alınması faydalı olacaktır.</w:t>
      </w:r>
    </w:p>
    <w:p w:rsidR="304F246B" w:rsidP="304F246B" w:rsidRDefault="304F246B" w14:paraId="13D4A1AC" w14:textId="768A0964">
      <w:pPr>
        <w:spacing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p>
    <w:p xmlns:wp14="http://schemas.microsoft.com/office/word/2010/wordml" w:rsidP="304F246B" wp14:paraId="0C1CEDB9" wp14:textId="128F0008">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27734AC7" wp14:textId="082EE208">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r w:rsidRPr="304F246B">
        <w:rPr>
          <w:rFonts w:ascii="Arial" w:hAnsi="Arial" w:eastAsia="Arial" w:cs="Arial" w:asciiTheme="minorAscii" w:hAnsiTheme="minorAscii" w:eastAsiaTheme="minorAscii" w:cstheme="minorAscii"/>
          <w:color w:val="auto"/>
          <w:sz w:val="22"/>
          <w:szCs w:val="22"/>
        </w:rPr>
        <w:br w:type="page"/>
      </w:r>
    </w:p>
    <w:p w:rsidR="031269CC" w:rsidP="304F246B" w:rsidRDefault="031269CC" w14:paraId="3D42C0F4" w14:textId="698F6540">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31269CC">
        <w:rPr>
          <w:rFonts w:ascii="Arial" w:hAnsi="Arial" w:eastAsia="Arial" w:cs="Arial" w:asciiTheme="minorAscii" w:hAnsiTheme="minorAscii" w:eastAsiaTheme="minorAscii" w:cstheme="minorAscii"/>
          <w:b w:val="1"/>
          <w:bCs w:val="1"/>
          <w:noProof w:val="0"/>
          <w:sz w:val="22"/>
          <w:szCs w:val="22"/>
          <w:lang w:val="tr-TR"/>
        </w:rPr>
        <w:t>SÜRDÜRÜLEBİLİRLİK HUKUKU SERİSİ #11 – AB YEŞİL MUTABAKATI ŞİRKETLER İÇİN HANGİ YÜKÜMLÜLÜKLERİ DOĞURUYOR?</w:t>
      </w:r>
    </w:p>
    <w:p w:rsidR="031269CC" w:rsidP="304F246B" w:rsidRDefault="031269CC" w14:paraId="553CAC91" w14:textId="2993968B">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31269CC">
        <w:rPr>
          <w:rFonts w:ascii="Arial" w:hAnsi="Arial" w:eastAsia="Arial" w:cs="Arial" w:asciiTheme="minorAscii" w:hAnsiTheme="minorAscii" w:eastAsiaTheme="minorAscii" w:cstheme="minorAscii"/>
          <w:b w:val="1"/>
          <w:bCs w:val="1"/>
          <w:noProof w:val="0"/>
          <w:sz w:val="22"/>
          <w:szCs w:val="22"/>
          <w:lang w:val="tr-TR"/>
        </w:rPr>
        <w:t>MART 2026</w:t>
      </w:r>
    </w:p>
    <w:p w:rsidR="031269CC" w:rsidP="304F246B" w:rsidRDefault="031269CC" w14:paraId="30346130" w14:textId="6584432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Avrupa Birliği’nin European Green Deal girişimi yalnızca bir çevre politikası değildir. Sanayi üretiminden finansmana, tedarik zincirinden raporlamaya kadar birçok alanda şirketlerin faaliyetlerini doğrudan etkileyen yeni bir düzenleyici çerçeve oluşturmaktadır. Avrupa Birliği, iklim hedeflerine ulaşmak için ekonomi genelinde karbon yoğunluğunu azaltmayı hedeflerken bu dönüşüm aynı zamanda ticaret kurallarını ve şirketlerin iş yapma biçimini de değiştirmektedir.</w:t>
      </w:r>
    </w:p>
    <w:p w:rsidR="031269CC" w:rsidP="304F246B" w:rsidRDefault="031269CC" w14:paraId="1B3454BE" w14:textId="68F3D918">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Bu nedenle Yeşil Mutabakat artık yalnızca çevresel bir politika değil, üretim stratejilerinden finansman ilişkilerine kadar geniş bir alanı etkileyen ekonomik bir dönüşüm programı olarak değerlendirilmektedir. Özellikle Avrupa Birliği ile ticaret yapan şirketler açısından bu dönüşüm giderek daha stratejik bir konu hâline gelmektedir.</w:t>
      </w:r>
    </w:p>
    <w:p w:rsidR="031269CC" w:rsidP="304F246B" w:rsidRDefault="031269CC" w14:paraId="01FF0687" w14:textId="11D4D2F2">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Aşağıda Yeşil Mutabakat kapsamında şirketleri doğrudan etkileyen başlıca yükümlülükler özetlenmektedir.</w:t>
      </w:r>
    </w:p>
    <w:p w:rsidR="031269CC" w:rsidP="304F246B" w:rsidRDefault="031269CC" w14:paraId="404EA8B8" w14:textId="209BF897">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31269CC">
        <w:rPr>
          <w:rFonts w:ascii="Arial" w:hAnsi="Arial" w:eastAsia="Arial" w:cs="Arial" w:asciiTheme="minorAscii" w:hAnsiTheme="minorAscii" w:eastAsiaTheme="minorAscii" w:cstheme="minorAscii"/>
          <w:b w:val="1"/>
          <w:bCs w:val="1"/>
          <w:noProof w:val="0"/>
          <w:sz w:val="22"/>
          <w:szCs w:val="22"/>
          <w:lang w:val="tr-TR"/>
        </w:rPr>
        <w:t>1. Karbon Emisyonlarının Ölçülmesi ve Raporlanması</w:t>
      </w:r>
    </w:p>
    <w:p w:rsidR="031269CC" w:rsidP="304F246B" w:rsidRDefault="031269CC" w14:paraId="5E950378" w14:textId="2C5B6FBF">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Yeşil Mutabakat ile birlikte şirketlerin faaliyetlerinden kaynaklanan sera gazı emisyonlarını ölçmesi giderek daha önemli bir gereklilik hâline gelmiştir. Üretim süreçlerinde ortaya çıkan karbon emisyonlarının hesaplanması, enerji tüketiminin karbon yoğunluğunun belirlenmesi ve üretim faaliyetlerinin toplam emisyon etkisinin analiz edilmesi şirketler için temel bir veri alanı hâline gelmektedir.</w:t>
      </w:r>
    </w:p>
    <w:p w:rsidR="031269CC" w:rsidP="304F246B" w:rsidRDefault="031269CC" w14:paraId="2C4F2964" w14:textId="795F762A">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Bu süreç yalnızca şirketin kendi faaliyetlerini değil, aynı zamanda tedarik zincirinden kaynaklanan dolaylı emisyonları da kapsamaktadır. Bu nedenle birçok sektörde karbon verisi artık sürdürülebilirlik raporlarının ötesine geçerek ticari kararların ve ihracat süreçlerinin bir parçası hâline gelmektedir. Özellikle Avrupa pazarına ürün gönderen şirketler için karbon verisinin ölçülmesi ve doğru şekilde raporlanması, rekabet açısından giderek daha belirleyici bir unsur hâline gelmektedir.</w:t>
      </w:r>
    </w:p>
    <w:p w:rsidR="031269CC" w:rsidP="304F246B" w:rsidRDefault="031269CC" w14:paraId="3D287D70" w14:textId="0DAFF5D3">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31269CC">
        <w:rPr>
          <w:rFonts w:ascii="Arial" w:hAnsi="Arial" w:eastAsia="Arial" w:cs="Arial" w:asciiTheme="minorAscii" w:hAnsiTheme="minorAscii" w:eastAsiaTheme="minorAscii" w:cstheme="minorAscii"/>
          <w:b w:val="1"/>
          <w:bCs w:val="1"/>
          <w:noProof w:val="0"/>
          <w:sz w:val="22"/>
          <w:szCs w:val="22"/>
          <w:lang w:val="tr-TR"/>
        </w:rPr>
        <w:t>2. Sınırda Karbon Düzenlemelerine Uyum</w:t>
      </w:r>
    </w:p>
    <w:p w:rsidR="031269CC" w:rsidP="304F246B" w:rsidRDefault="031269CC" w14:paraId="2A239786" w14:textId="544000E7">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Yeşil Mutabakat kapsamında geliştirilen en önemli mekanizmalardan biri, Sınırda Karbon Düzenleme Mekanizması olarak bilinen CBAM sistemidir. Bu mekanizma, Avrupa Birliği’ne ithal edilen bazı ürünlerin üretim sürecinde ortaya çıkan karbon emisyonunun da ticaret maliyetine dâhil edilmesini öngörmektedir.</w:t>
      </w:r>
    </w:p>
    <w:p w:rsidR="031269CC" w:rsidP="304F246B" w:rsidRDefault="031269CC" w14:paraId="16441A5F" w14:textId="61BA331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Başka bir ifadeyle, Avrupa içinde üretim yapan şirketler karbon maliyeti öderken, Avrupa dışından gelen ürünlerin de benzer bir karbon maliyetine tabi olması hedeflenmektedir. Bu düzenleme özellikle enerji yoğun sektörlerde faaliyet gösteren şirketler için önemli sonuçlar doğurmaktadır. Demir-çelik, çimento, alüminyum, gübre, elektrik ve hidrojen gibi sektörler sistemin ilk aşamada kapsadığı alanlar arasında yer almaktadır.</w:t>
      </w:r>
    </w:p>
    <w:p w:rsidR="031269CC" w:rsidP="304F246B" w:rsidRDefault="031269CC" w14:paraId="578ED476" w14:textId="6C933A38">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Bu sektörlerde faaliyet gösteren şirketler için karbon emisyonlarının ölçülmesi, raporlanması ve üretim süreçlerindeki karbon yoğunluğunun azaltılması giderek daha kritik bir konu hâline gelmektedir.</w:t>
      </w:r>
    </w:p>
    <w:p w:rsidR="031269CC" w:rsidP="304F246B" w:rsidRDefault="031269CC" w14:paraId="3132B8B8" w14:textId="2EE04E5C">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31269CC">
        <w:rPr>
          <w:rFonts w:ascii="Arial" w:hAnsi="Arial" w:eastAsia="Arial" w:cs="Arial" w:asciiTheme="minorAscii" w:hAnsiTheme="minorAscii" w:eastAsiaTheme="minorAscii" w:cstheme="minorAscii"/>
          <w:b w:val="1"/>
          <w:bCs w:val="1"/>
          <w:noProof w:val="0"/>
          <w:sz w:val="22"/>
          <w:szCs w:val="22"/>
          <w:lang w:val="tr-TR"/>
        </w:rPr>
        <w:t>3. Sürdürülebilirlik Raporlaması Yükümlülüğü</w:t>
      </w:r>
    </w:p>
    <w:p w:rsidR="031269CC" w:rsidP="304F246B" w:rsidRDefault="031269CC" w14:paraId="35F46D28" w14:textId="01699CC2">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Avrupa Birliği son yıllarda şirketlerin sürdürülebilirlik performansını daha kapsamlı şekilde raporlamasını sağlayan düzenlemeleri genişletmektedir. Bu kapsamda yürürlüğe giren Corporate Sustainability Reporting Directive düzenlemesi ile birlikte birçok şirket için sürdürülebilirlik raporlaması daha sistematik bir çerçeveye oturmaktadır.</w:t>
      </w:r>
    </w:p>
    <w:p w:rsidR="031269CC" w:rsidP="304F246B" w:rsidRDefault="031269CC" w14:paraId="769808F0" w14:textId="4D72E509">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Şirketlerin çevresel etkileri, sosyal etkileri ve yönetişim yapısı gibi alanlarda daha detaylı veri açıklaması beklenmektedir. Bu raporlar yalnızca şirketlerin çevresel performansını göstermekle kalmamakta, aynı zamanda risk yönetimi ve stratejik karar alma süreçleri açısından da önemli bir referans hâline gelmektedir.</w:t>
      </w:r>
    </w:p>
    <w:p w:rsidR="031269CC" w:rsidP="304F246B" w:rsidRDefault="031269CC" w14:paraId="1CD56DAC" w14:textId="368CA388">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Düzenleme doğrudan Avrupa Birliği içinde faaliyet gösteren şirketleri kapsasa da, bu şirketlerle çalışan tedarikçiler ve iş ortakları üzerinden Avrupa dışındaki şirketleri de dolaylı olarak etkilemektedir.</w:t>
      </w:r>
    </w:p>
    <w:p w:rsidR="031269CC" w:rsidP="304F246B" w:rsidRDefault="031269CC" w14:paraId="4303C058" w14:textId="7A8CACDC">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31269CC">
        <w:rPr>
          <w:rFonts w:ascii="Arial" w:hAnsi="Arial" w:eastAsia="Arial" w:cs="Arial" w:asciiTheme="minorAscii" w:hAnsiTheme="minorAscii" w:eastAsiaTheme="minorAscii" w:cstheme="minorAscii"/>
          <w:b w:val="1"/>
          <w:bCs w:val="1"/>
          <w:noProof w:val="0"/>
          <w:sz w:val="22"/>
          <w:szCs w:val="22"/>
          <w:lang w:val="tr-TR"/>
        </w:rPr>
        <w:t>4. Tedarik Zinciri Şeffaflığı</w:t>
      </w:r>
    </w:p>
    <w:p w:rsidR="031269CC" w:rsidP="304F246B" w:rsidRDefault="031269CC" w14:paraId="3C3C95AE" w14:textId="64B2F3DF">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Yeşil Mutabakat kapsamında dikkat çeken bir diğer başlık, tedarik zincirlerinin daha şeffaf hâle gelmesidir. Şirketlerin yalnızca kendi faaliyetleri değil, tedarikçilerinin çevresel ve sosyal performansı da giderek daha fazla incelenmektedir.</w:t>
      </w:r>
    </w:p>
    <w:p w:rsidR="031269CC" w:rsidP="304F246B" w:rsidRDefault="031269CC" w14:paraId="70D80E2C" w14:textId="6312987A">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Özellikle üretim süreçlerinde kullanılan hammaddelerin kaynağı, tedarikçilerin çevresel etkileri ve çalışma koşulları gibi konular önem kazanmaktadır. Büyük ölçekli şirketler artık tedarikçilerinden sürdürülebilirlik verisi talep etmekte ve bu verileri kendi raporlama süreçlerine dâhil etmektedir.</w:t>
      </w:r>
    </w:p>
    <w:p w:rsidR="031269CC" w:rsidP="304F246B" w:rsidRDefault="031269CC" w14:paraId="2AA0D7C1" w14:textId="1FE2340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Bu durum, ihracat yapan birçok şirket için yeni bir uyum süreci anlamına gelmektedir. Tedarik zincirinde yer alan şirketler, çevresel performanslarını ve üretim süreçlerini daha şeffaf şekilde ortaya koymak zorunda kalmaktadır.</w:t>
      </w:r>
    </w:p>
    <w:p w:rsidR="031269CC" w:rsidP="304F246B" w:rsidRDefault="031269CC" w14:paraId="494E53D2" w14:textId="1791B8B4">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31269CC">
        <w:rPr>
          <w:rFonts w:ascii="Arial" w:hAnsi="Arial" w:eastAsia="Arial" w:cs="Arial" w:asciiTheme="minorAscii" w:hAnsiTheme="minorAscii" w:eastAsiaTheme="minorAscii" w:cstheme="minorAscii"/>
          <w:b w:val="1"/>
          <w:bCs w:val="1"/>
          <w:noProof w:val="0"/>
          <w:sz w:val="22"/>
          <w:szCs w:val="22"/>
          <w:lang w:val="tr-TR"/>
        </w:rPr>
        <w:t>5. Finansmana Erişim Kriterleri Değişiyor</w:t>
      </w:r>
    </w:p>
    <w:p w:rsidR="031269CC" w:rsidP="304F246B" w:rsidRDefault="031269CC" w14:paraId="23E474E4" w14:textId="15C4F26B">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Yeşil Mutabakat yalnızca üretim ve ticaret süreçlerini değil, finansman sistemini de etkilemektedir. Avrupa Birliği finansal sisteminde sürdürülebilirlik kriterleri giderek daha belirleyici hâle gelmektedir.</w:t>
      </w:r>
    </w:p>
    <w:p w:rsidR="031269CC" w:rsidP="304F246B" w:rsidRDefault="031269CC" w14:paraId="7F042D91" w14:textId="0E23E4AE">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Bu kapsamda geliştirilen EU Taxonomy for Sustainable Activities sistemi, hangi ekonomik faaliyetlerin çevresel açıdan sürdürülebilir kabul edileceğini tanımlamaktadır. Bu çerçeve bankalar, yatırım fonları ve finans kuruluşları için önemli bir referans noktası oluşturmaktadır.</w:t>
      </w:r>
    </w:p>
    <w:p w:rsidR="031269CC" w:rsidP="304F246B" w:rsidRDefault="031269CC" w14:paraId="6DBC4F42" w14:textId="2B1475F2">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Finansal kuruluşlar yatırım ve kredi kararlarında şirketlerin çevresel performansını daha fazla dikkate almaktadır. Bu nedenle şirketlerin enerji kullanımı, karbon emisyonu ve sürdürülebilirlik stratejisi finansmana erişim açısından giderek daha önemli bir rol oynamaktadır.</w:t>
      </w:r>
    </w:p>
    <w:p w:rsidR="031269CC" w:rsidP="304F246B" w:rsidRDefault="031269CC" w14:paraId="3C7F88F3" w14:textId="2A0A2AB0">
      <w:pPr>
        <w:spacing w:before="240" w:beforeAutospacing="off" w:after="240" w:afterAutospacing="off"/>
        <w:jc w:val="both"/>
        <w:rPr>
          <w:rFonts w:ascii="Arial" w:hAnsi="Arial" w:eastAsia="Arial" w:cs="Arial" w:asciiTheme="minorAscii" w:hAnsiTheme="minorAscii" w:eastAsiaTheme="minorAscii" w:cstheme="minorAscii"/>
          <w:b w:val="1"/>
          <w:bCs w:val="1"/>
          <w:noProof w:val="0"/>
          <w:sz w:val="22"/>
          <w:szCs w:val="22"/>
          <w:lang w:val="tr-TR"/>
        </w:rPr>
      </w:pPr>
      <w:r w:rsidRPr="304F246B" w:rsidR="031269CC">
        <w:rPr>
          <w:rFonts w:ascii="Arial" w:hAnsi="Arial" w:eastAsia="Arial" w:cs="Arial" w:asciiTheme="minorAscii" w:hAnsiTheme="minorAscii" w:eastAsiaTheme="minorAscii" w:cstheme="minorAscii"/>
          <w:b w:val="1"/>
          <w:bCs w:val="1"/>
          <w:noProof w:val="0"/>
          <w:sz w:val="22"/>
          <w:szCs w:val="22"/>
          <w:lang w:val="tr-TR"/>
        </w:rPr>
        <w:t>Sonuç</w:t>
      </w:r>
    </w:p>
    <w:p w:rsidR="031269CC" w:rsidP="304F246B" w:rsidRDefault="031269CC" w14:paraId="6ED8B01E" w14:textId="7DE52C71">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AB Yeşil Mutabakatı, şirketler açısından yalnızca bir çevre politikası değildir. Ticaret kuralları, üretim modelleri ve finansman ilişkileri üzerinde etkisi olan kapsamlı bir dönüşüm programı niteliği taşımaktadır.</w:t>
      </w:r>
    </w:p>
    <w:p w:rsidR="031269CC" w:rsidP="304F246B" w:rsidRDefault="031269CC" w14:paraId="29E6684D" w14:textId="4A2AF3BD">
      <w:pPr>
        <w:spacing w:before="240" w:beforeAutospacing="off" w:after="240" w:afterAutospacing="off"/>
        <w:jc w:val="both"/>
        <w:rPr>
          <w:rFonts w:ascii="Arial" w:hAnsi="Arial" w:eastAsia="Arial" w:cs="Arial" w:asciiTheme="minorAscii" w:hAnsiTheme="minorAscii" w:eastAsiaTheme="minorAscii" w:cstheme="minorAscii"/>
          <w:noProof w:val="0"/>
          <w:sz w:val="22"/>
          <w:szCs w:val="22"/>
          <w:lang w:val="tr-TR"/>
        </w:rPr>
      </w:pPr>
      <w:r w:rsidRPr="304F246B" w:rsidR="031269CC">
        <w:rPr>
          <w:rFonts w:ascii="Arial" w:hAnsi="Arial" w:eastAsia="Arial" w:cs="Arial" w:asciiTheme="minorAscii" w:hAnsiTheme="minorAscii" w:eastAsiaTheme="minorAscii" w:cstheme="minorAscii"/>
          <w:noProof w:val="0"/>
          <w:sz w:val="22"/>
          <w:szCs w:val="22"/>
          <w:lang w:val="tr-TR"/>
        </w:rPr>
        <w:t>Karbon verisinin ölçülmesi, sürdürülebilirlik raporlaması yapılması, tedarik zinciri risklerinin yönetilmesi ve düşük karbonlu üretim modellerine geçiş, şirketler için giderek daha önemli hâle gelmektedir. Özellikle Avrupa Birliği ile ticari ilişkisi bulunan şirketler açısından bu süreç yalnızca bir uyum meselesi değil, rekabet gücünü doğrudan etkileyen stratejik bir konu hâline gelmektedir.</w:t>
      </w:r>
    </w:p>
    <w:p w:rsidR="304F246B" w:rsidP="304F246B" w:rsidRDefault="304F246B" w14:paraId="06E77642" w14:textId="47005561">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p>
    <w:p xmlns:wp14="http://schemas.microsoft.com/office/word/2010/wordml" w:rsidP="304F246B" wp14:paraId="048E541F" wp14:textId="11230396">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3DC5D7C9" wp14:textId="3C92ABE3">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3CF34D6A" wp14:textId="5F395B9E">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r w:rsidRPr="304F246B">
        <w:rPr>
          <w:rFonts w:ascii="Arial" w:hAnsi="Arial" w:eastAsia="Arial" w:cs="Arial" w:asciiTheme="minorAscii" w:hAnsiTheme="minorAscii" w:eastAsiaTheme="minorAscii" w:cstheme="minorAscii"/>
          <w:color w:val="auto"/>
          <w:sz w:val="22"/>
          <w:szCs w:val="22"/>
        </w:rPr>
        <w:br w:type="page"/>
      </w:r>
    </w:p>
    <w:p xmlns:wp14="http://schemas.microsoft.com/office/word/2010/wordml" w:rsidP="304F246B" wp14:paraId="57F41EC2" wp14:textId="5C00B787">
      <w:pPr>
        <w:pStyle w:val="ListParagraph"/>
        <w:numPr>
          <w:ilvl w:val="0"/>
          <w:numId w:val="2"/>
        </w:numPr>
        <w:spacing w:after="240" w:afterAutospacing="off" w:line="276" w:lineRule="auto"/>
        <w:ind w:left="0"/>
        <w:jc w:val="both"/>
        <w:rPr>
          <w:rFonts w:ascii="Arial" w:hAnsi="Arial" w:eastAsia="Arial" w:cs="Arial" w:asciiTheme="minorAscii" w:hAnsiTheme="minorAscii" w:eastAsiaTheme="minorAscii" w:cstheme="minorAscii"/>
          <w:b w:val="1"/>
          <w:bCs w:val="1"/>
          <w:i w:val="0"/>
          <w:iCs w:val="0"/>
          <w:caps w:val="0"/>
          <w:smallCaps w:val="0"/>
          <w:noProof w:val="0"/>
          <w:color w:val="000000" w:themeColor="text1" w:themeTint="FF" w:themeShade="FF"/>
          <w:sz w:val="22"/>
          <w:szCs w:val="22"/>
          <w:lang w:val="tr-TR"/>
        </w:rPr>
      </w:pPr>
      <w:r w:rsidRPr="304F246B" w:rsidR="63E58E92">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WHY INVESTORS ARE DRAWN TO COMPANIES WİTH A SUSTAINABILITY FOCUS</w:t>
      </w:r>
    </w:p>
    <w:p xmlns:wp14="http://schemas.microsoft.com/office/word/2010/wordml" w:rsidP="304F246B" wp14:paraId="45785DD2" wp14:textId="22692EBB">
      <w:pPr>
        <w:pStyle w:val="ListParagraph"/>
        <w:spacing w:after="240" w:afterAutospacing="off" w:line="276" w:lineRule="auto"/>
        <w:ind w:left="7080" w:firstLine="0"/>
        <w:jc w:val="both"/>
        <w:rPr>
          <w:rFonts w:ascii="Arial" w:hAnsi="Arial" w:eastAsia="Arial" w:cs="Arial" w:asciiTheme="minorAscii" w:hAnsiTheme="minorAscii" w:eastAsiaTheme="minorAscii" w:cstheme="minorAscii"/>
          <w:b w:val="1"/>
          <w:bCs w:val="1"/>
          <w:i w:val="0"/>
          <w:iCs w:val="0"/>
          <w:caps w:val="0"/>
          <w:smallCaps w:val="0"/>
          <w:noProof w:val="0"/>
          <w:color w:val="000000" w:themeColor="text1" w:themeTint="FF" w:themeShade="FF"/>
          <w:sz w:val="22"/>
          <w:szCs w:val="22"/>
          <w:lang w:val="tr-TR"/>
        </w:rPr>
      </w:pP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EYLÜL 2025</w:t>
      </w:r>
    </w:p>
    <w:p xmlns:wp14="http://schemas.microsoft.com/office/word/2010/wordml" w:rsidP="304F246B" wp14:paraId="3963E574" wp14:textId="0C8E0F54">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capital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markets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factors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that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determine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company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value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are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not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limited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to</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profit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margins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or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cash</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flow</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criterion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that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investors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increasingly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attach</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importance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to</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is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companies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approach</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to</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sustainability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This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change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is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clearly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reflected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figures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Morgan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Stanley’s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2025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report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Sustainable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Signals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Individual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Investors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p>
    <w:p xmlns:wp14="http://schemas.microsoft.com/office/word/2010/wordml" w:rsidP="304F246B" wp14:paraId="552CC1B8" wp14:textId="65E9F849">
      <w:pPr>
        <w:pStyle w:val="Heading3"/>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pP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Investor </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Interest</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Strengthening</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Factors</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 </w:t>
      </w:r>
    </w:p>
    <w:p xmlns:wp14="http://schemas.microsoft.com/office/word/2010/wordml" w:rsidP="304F246B" wp14:paraId="45DC3472" wp14:textId="2ECF68D2">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According</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to</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research</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88% of global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investors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show</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interest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sustainable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investments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Among</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younger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generations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rate is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even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higher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99%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Generation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Z, 97%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Generation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Y.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This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table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indicates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that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coming</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years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direction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capital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flows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will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be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shaped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by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preferences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younger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generations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p>
    <w:p xmlns:wp14="http://schemas.microsoft.com/office/word/2010/wordml" w:rsidP="304F246B" wp14:paraId="5CEBED0E" wp14:textId="72F8B5B6">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investors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planning</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to</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grow</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their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portfolios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59%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trust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competitive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return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potential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sustainable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investments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80%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participants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think</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that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environmental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and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social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benefit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is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possible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together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with</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financial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gain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This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perspective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turns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sustainability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into</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not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only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an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ethical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choice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but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also</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a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strategy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that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directly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creates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value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p>
    <w:p xmlns:wp14="http://schemas.microsoft.com/office/word/2010/wordml" w:rsidP="304F246B" wp14:paraId="5CB85CDD" wp14:textId="69D10499">
      <w:pPr>
        <w:pStyle w:val="Heading3"/>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pP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Companies</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Position</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 in </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Eyes</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Investors</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 </w:t>
      </w:r>
    </w:p>
    <w:p xmlns:wp14="http://schemas.microsoft.com/office/word/2010/wordml" w:rsidP="304F246B" wp14:paraId="30D92974" wp14:textId="01970A8C">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energy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transition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is at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center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this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trend.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More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than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80%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investors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see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renewable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energy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and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energy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efficiency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as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growth</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opportunities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addition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60%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state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that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they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will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not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energy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companies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without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a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reliable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decarbonization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plan.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For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this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reason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net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zero</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targets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have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become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a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critical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threshold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for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investability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p>
    <w:p xmlns:wp14="http://schemas.microsoft.com/office/word/2010/wordml" w:rsidP="304F246B" wp14:paraId="70CEFC7D" wp14:textId="5A10863D">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addition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issue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transparency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stands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out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terms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investor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confidence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About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70%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participants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are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concerned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about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reliability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reported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data</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and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risk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greenwashing</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Therefore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companies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that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set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their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targets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a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measurable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way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provide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assurance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through</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independent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verification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processes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and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report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regularly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are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placed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a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stronger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position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eyes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investors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p>
    <w:p xmlns:wp14="http://schemas.microsoft.com/office/word/2010/wordml" w:rsidP="304F246B" wp14:paraId="6F91010E" wp14:textId="76DD192E">
      <w:pPr>
        <w:pStyle w:val="Heading3"/>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pP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Short</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Assessment</w:t>
      </w:r>
      <w:r w:rsidRPr="304F246B" w:rsidR="04486804">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 </w:t>
      </w:r>
    </w:p>
    <w:p xmlns:wp14="http://schemas.microsoft.com/office/word/2010/wordml" w:rsidP="304F246B" wp14:paraId="793CB2B3" wp14:textId="2F5E64F6">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Morgan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Stanley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data</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clearly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shows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reasons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behind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value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increase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sustainability-oriented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companies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interest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is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strong</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on a global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scale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effect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younger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generations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is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evident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confidence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performance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is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increasing</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and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energy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transition</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is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priority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area</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investors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Moreover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transparency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and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reliable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reporting</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play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a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direct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role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companies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market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value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p>
    <w:p xmlns:wp14="http://schemas.microsoft.com/office/word/2010/wordml" w:rsidP="304F246B" wp14:paraId="57B38EBA" wp14:textId="6BC78086">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This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table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reveals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that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companies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integrating</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their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sustainability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strategy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into</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their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business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model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are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among</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future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winners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both</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financial</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markets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and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eyes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society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From</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a legal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perspective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this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approach</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through</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transparent</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reporting</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and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accountability</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enables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companies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to</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be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positioned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on a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stronger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ground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in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terms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of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both</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investor</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confidence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and</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compliance</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obligations</w:t>
      </w:r>
      <w:r w:rsidRPr="304F246B" w:rsidR="04486804">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p>
    <w:p xmlns:wp14="http://schemas.microsoft.com/office/word/2010/wordml" w:rsidP="304F246B" wp14:paraId="7651A6A2" wp14:textId="67756F82">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pP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 xml:space="preserve">Source: Morgan </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Stanley</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Institute</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for</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Sustainable</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Investing</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Sustainable</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Signals</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Individual</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 xml:space="preserve"> </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Investors</w:t>
      </w:r>
      <w:r w:rsidRPr="304F246B" w:rsidR="04486804">
        <w:rPr>
          <w:rFonts w:ascii="Arial" w:hAnsi="Arial" w:eastAsia="Arial" w:cs="Arial" w:asciiTheme="minorAscii" w:hAnsiTheme="minorAscii" w:eastAsiaTheme="minorAscii" w:cstheme="minorAscii"/>
          <w:b w:val="0"/>
          <w:bCs w:val="0"/>
          <w:i w:val="1"/>
          <w:iCs w:val="1"/>
          <w:caps w:val="0"/>
          <w:smallCaps w:val="0"/>
          <w:noProof w:val="0"/>
          <w:color w:val="auto"/>
          <w:sz w:val="22"/>
          <w:szCs w:val="22"/>
          <w:lang w:val="tr-TR"/>
        </w:rPr>
        <w:t xml:space="preserve"> 2025.</w:t>
      </w:r>
    </w:p>
    <w:p xmlns:wp14="http://schemas.microsoft.com/office/word/2010/wordml" w:rsidP="304F246B" wp14:paraId="5B5DFEC9" wp14:textId="04F98A86">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7B1CFC14" wp14:textId="0C8C3A71">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r w:rsidRPr="304F246B">
        <w:rPr>
          <w:rFonts w:ascii="Arial" w:hAnsi="Arial" w:eastAsia="Arial" w:cs="Arial" w:asciiTheme="minorAscii" w:hAnsiTheme="minorAscii" w:eastAsiaTheme="minorAscii" w:cstheme="minorAscii"/>
          <w:color w:val="auto"/>
          <w:sz w:val="22"/>
          <w:szCs w:val="22"/>
        </w:rPr>
        <w:br w:type="page"/>
      </w:r>
    </w:p>
    <w:p xmlns:wp14="http://schemas.microsoft.com/office/word/2010/wordml" w:rsidP="304F246B" wp14:paraId="2E109A95" wp14:textId="43690859">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4B3FD6B4" wp14:textId="3F98002E">
      <w:pPr>
        <w:pStyle w:val="ListParagraph"/>
        <w:numPr>
          <w:ilvl w:val="0"/>
          <w:numId w:val="2"/>
        </w:numPr>
        <w:spacing w:after="240" w:afterAutospacing="off" w:line="276" w:lineRule="auto"/>
        <w:ind w:left="0"/>
        <w:jc w:val="both"/>
        <w:rPr>
          <w:rFonts w:ascii="Arial" w:hAnsi="Arial" w:eastAsia="Arial" w:cs="Arial" w:asciiTheme="minorAscii" w:hAnsiTheme="minorAscii" w:eastAsiaTheme="minorAscii" w:cstheme="minorAscii"/>
          <w:b w:val="1"/>
          <w:bCs w:val="1"/>
          <w:i w:val="0"/>
          <w:iCs w:val="0"/>
          <w:caps w:val="0"/>
          <w:smallCaps w:val="0"/>
          <w:noProof w:val="0"/>
          <w:color w:val="000000" w:themeColor="text1" w:themeTint="FF" w:themeShade="FF"/>
          <w:sz w:val="22"/>
          <w:szCs w:val="22"/>
          <w:lang w:val="tr-TR"/>
        </w:rPr>
      </w:pPr>
      <w:r w:rsidRPr="304F246B" w:rsidR="63E58E92">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I-REC SERTİFİKASININ ŞİRKETLERE SAĞLADIĞI FAYDALAR NELERDİR?</w:t>
      </w:r>
    </w:p>
    <w:p xmlns:wp14="http://schemas.microsoft.com/office/word/2010/wordml" w:rsidP="304F246B" wp14:paraId="52227EC4" wp14:textId="2588EC0F">
      <w:pPr>
        <w:pStyle w:val="ListParagraph"/>
        <w:spacing w:after="240" w:afterAutospacing="off" w:line="276" w:lineRule="auto"/>
        <w:ind w:left="5664" w:firstLine="708"/>
        <w:jc w:val="both"/>
        <w:rPr>
          <w:rFonts w:ascii="Arial" w:hAnsi="Arial" w:eastAsia="Arial" w:cs="Arial" w:asciiTheme="minorAscii" w:hAnsiTheme="minorAscii" w:eastAsiaTheme="minorAscii" w:cstheme="minorAscii"/>
          <w:b w:val="1"/>
          <w:bCs w:val="1"/>
          <w:i w:val="0"/>
          <w:iCs w:val="0"/>
          <w:caps w:val="0"/>
          <w:smallCaps w:val="0"/>
          <w:noProof w:val="0"/>
          <w:color w:val="000000" w:themeColor="text1" w:themeTint="FF" w:themeShade="FF"/>
          <w:sz w:val="22"/>
          <w:szCs w:val="22"/>
          <w:lang w:val="tr-TR"/>
        </w:rPr>
      </w:pPr>
      <w:r w:rsidRPr="304F246B" w:rsidR="3894B69E">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AĞUSTOS 2025</w:t>
      </w:r>
    </w:p>
    <w:p xmlns:wp14="http://schemas.microsoft.com/office/word/2010/wordml" w:rsidP="304F246B" wp14:paraId="16903A2C" wp14:textId="5B79A3D7">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Enerji piyasalarında şeffaflık ve güvenilirlik, şirketlerin hem ulusal hem de uluslararası ölçekte karşılaştığı en önemli beklentiler arasında yer alıyor. Kurumların çevresel performanslarını somut verilerle ortaya koyabilmeleri için güçlü ve kabul gören belgelere ihtiyaç duyuluyor.</w:t>
      </w:r>
    </w:p>
    <w:p xmlns:wp14="http://schemas.microsoft.com/office/word/2010/wordml" w:rsidP="304F246B" wp14:paraId="7CDAFCB8" wp14:textId="37A62D9B">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I-REC Sertifikası (International </w:t>
      </w: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Renewable</w:t>
      </w: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Energy</w:t>
      </w: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xml:space="preserve"> </w:t>
      </w: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Certificate</w:t>
      </w: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 bu noktada öne çıkan uluslararası bir sistem olarak şirketlerin yenilenebilir enerji kullanımını kanıtlamasına olanak tanıyor.</w:t>
      </w:r>
    </w:p>
    <w:p xmlns:wp14="http://schemas.microsoft.com/office/word/2010/wordml" w:rsidP="304F246B" wp14:paraId="1989F3A4" wp14:textId="4B32AF4A">
      <w:pPr>
        <w:pStyle w:val="Heading3"/>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Yenilenebilir Enerji Kullanımının Belgelenmesi</w:t>
      </w:r>
    </w:p>
    <w:p xmlns:wp14="http://schemas.microsoft.com/office/word/2010/wordml" w:rsidP="304F246B" wp14:paraId="2F354DB8" wp14:textId="4EAF4A28">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I-REC Sertifikası, tüketilen elektriğin yenilenebilir kaynaklardan sağlandığını resmi olarak belgelendirir. Bu sayede kurumlar enerji raporlamalarında şeffaflık sağlar ve uluslararası standartlarla uyumlu bir çerçeve oluşturur.</w:t>
      </w:r>
    </w:p>
    <w:p xmlns:wp14="http://schemas.microsoft.com/office/word/2010/wordml" w:rsidP="304F246B" wp14:paraId="1B64910A" wp14:textId="1815DC1E">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Enerji tüketiminin kaynağını ispatlamak, çevresel sorumlulukların yanında finansal ve hukuki güvenilirlik açısından da önemlidir. Bağımsız ve uluslararası kabul gören bir doğrulama mekanizması sunan I-REC, paydaşlara güven verir. Böylece işletmeler, sürdürülebilirlik stratejilerini somut belgelerle destekleyerek piyasada güçlü bir konum elde eder.</w:t>
      </w:r>
    </w:p>
    <w:p xmlns:wp14="http://schemas.microsoft.com/office/word/2010/wordml" w:rsidP="304F246B" wp14:paraId="28E3C42A" wp14:textId="0A704AF4">
      <w:pPr>
        <w:pStyle w:val="Heading3"/>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Yatırımcı ve Paydaş Güvenini Artırma</w:t>
      </w:r>
    </w:p>
    <w:p xmlns:wp14="http://schemas.microsoft.com/office/word/2010/wordml" w:rsidP="304F246B" wp14:paraId="54A05FDC" wp14:textId="3994A318">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Finansal performans kadar çevresel ve sosyal sorumluluklar da yatırımcıların ve müşterilerin kararlarında etkili bir unsurdur. Enerji tüketiminde şeffaflık sağlayan I-REC Sertifikası, işletmelerin sürdürülebilirlik taahhütlerini somut bir belgeyle desteklemesine yardımcı olur. Bu sayede kurumlar, paydaşların gözünde güvenilir bir profil oluşturur.</w:t>
      </w:r>
    </w:p>
    <w:p xmlns:wp14="http://schemas.microsoft.com/office/word/2010/wordml" w:rsidP="304F246B" wp14:paraId="23954646" wp14:textId="65565727">
      <w:pPr>
        <w:pStyle w:val="Heading3"/>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Düzenleyici Uyum ve Hukuki Güvence</w:t>
      </w:r>
    </w:p>
    <w:p xmlns:wp14="http://schemas.microsoft.com/office/word/2010/wordml" w:rsidP="304F246B" wp14:paraId="736B87BA" wp14:textId="3BA86C94">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Enerji alanındaki regülasyonlar her geçen gün ayrıntı kazanmakta. Bu durum, şirketlerin raporlamalarını destekleyecek güvenilir araçlara olan ihtiyacını artırıyor.</w:t>
      </w:r>
    </w:p>
    <w:p xmlns:wp14="http://schemas.microsoft.com/office/word/2010/wordml" w:rsidP="304F246B" wp14:paraId="33CA8854" wp14:textId="50D41741">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I-REC Sertifikası, enerji tüketim verilerinin doğrulanmasında bu ihtiyacı karşılayan önemli bir seçenek sunuyor. Türkiye’de TSRS (Türkiye Sürdürülebilirlik Raporlama Standartları), Avrupa Birliği’nde ise CSRD düzenlemeleri işletmelerden enerji tüketimlerini ve emisyon verilerini raporlamasını istiyor. I-REC, bu raporların hazırlanmasında sağlam bir dayanak sağlayarak süreci daha öngörülebilir hale getirebilir.</w:t>
      </w:r>
    </w:p>
    <w:p xmlns:wp14="http://schemas.microsoft.com/office/word/2010/wordml" w:rsidP="304F246B" wp14:paraId="3782AEB5" wp14:textId="464C54BC">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Enerji kullanımında şeffaflığı destekleyen belgeler, denetimlerde ve olası uyuşmazlıklarda güçlü bir kanıt niteliği taşıyor. Bu yönüyle sertifika, hem idari risklerin azalmasına yardımcı oluyor hem de regülasyonlara uyum sürecinde kurumlara güvenli bir zemin sağlıyor.</w:t>
      </w:r>
    </w:p>
    <w:p xmlns:wp14="http://schemas.microsoft.com/office/word/2010/wordml" w:rsidP="304F246B" wp14:paraId="108D5DFD" wp14:textId="44A1C869">
      <w:pPr>
        <w:pStyle w:val="Heading3"/>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Genel Değerlendirme</w:t>
      </w:r>
    </w:p>
    <w:p xmlns:wp14="http://schemas.microsoft.com/office/word/2010/wordml" w:rsidP="304F246B" wp14:paraId="7DF8E672" wp14:textId="5F9AAEC8">
      <w:pPr>
        <w:shd w:val="clear" w:color="auto" w:fill="FFFFFF" w:themeFill="background1"/>
        <w:spacing w:before="0" w:beforeAutospacing="off" w:after="240" w:afterAutospacing="off" w:line="276" w:lineRule="auto"/>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r w:rsidRPr="304F246B" w:rsidR="3894B69E">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I-REC Sertifikası, şirketlerin sürdürülebilirlik hedeflerini desteklerken aynı zamanda pratikte işlerini kolaylaştırıyor. Enerji tüketiminde şeffaflık sağlamak, raporlama süreçlerini güvence altına almak ve paydaşlarla daha sağlam ilişkiler kurmak açısından ciddi bir katkı sunduğu görülüyor. Bu nedenle uzun vadeli planlama yapan kurumların gündeminde giderek daha fazla yer buluyor.</w:t>
      </w:r>
    </w:p>
    <w:p xmlns:wp14="http://schemas.microsoft.com/office/word/2010/wordml" w:rsidP="304F246B" wp14:paraId="63F035A3" wp14:textId="55E7AEA1">
      <w:pPr>
        <w:pStyle w:val="ListParagraph"/>
        <w:spacing w:after="240" w:afterAutospacing="off" w:line="276" w:lineRule="auto"/>
        <w:ind w:left="0"/>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tr-TR"/>
        </w:rPr>
      </w:pPr>
    </w:p>
    <w:p xmlns:wp14="http://schemas.microsoft.com/office/word/2010/wordml" w:rsidP="304F246B" wp14:paraId="02326703" wp14:textId="590B2C03">
      <w:pPr>
        <w:pStyle w:val="ListParagraph"/>
        <w:spacing w:after="240" w:afterAutospacing="off" w:line="276" w:lineRule="auto"/>
        <w:jc w:val="both"/>
        <w:rPr>
          <w:rFonts w:ascii="Arial" w:hAnsi="Arial" w:eastAsia="Arial" w:cs="Arial" w:asciiTheme="minorAscii" w:hAnsiTheme="minorAscii" w:eastAsiaTheme="minorAscii" w:cstheme="minorAscii"/>
          <w:color w:val="auto"/>
          <w:sz w:val="22"/>
          <w:szCs w:val="22"/>
        </w:rPr>
      </w:pPr>
    </w:p>
    <w:p xmlns:wp14="http://schemas.microsoft.com/office/word/2010/wordml" w:rsidP="304F246B" wp14:paraId="0FC410AE" wp14:textId="66F9831E">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r w:rsidRPr="304F246B">
        <w:rPr>
          <w:rFonts w:ascii="Arial" w:hAnsi="Arial" w:eastAsia="Arial" w:cs="Arial" w:asciiTheme="minorAscii" w:hAnsiTheme="minorAscii" w:eastAsiaTheme="minorAscii" w:cstheme="minorAscii"/>
          <w:color w:val="auto"/>
          <w:sz w:val="22"/>
          <w:szCs w:val="22"/>
        </w:rPr>
        <w:br w:type="page"/>
      </w:r>
    </w:p>
    <w:p xmlns:wp14="http://schemas.microsoft.com/office/word/2010/wordml" w:rsidP="304F246B" wp14:paraId="65A75411" wp14:textId="37C2B7DB">
      <w:pPr>
        <w:pStyle w:val="ListParagraph"/>
        <w:numPr>
          <w:ilvl w:val="0"/>
          <w:numId w:val="2"/>
        </w:numPr>
        <w:spacing w:after="240" w:afterAutospacing="off" w:line="276" w:lineRule="auto"/>
        <w:ind w:left="0"/>
        <w:jc w:val="both"/>
        <w:rPr>
          <w:rFonts w:ascii="Arial" w:hAnsi="Arial" w:eastAsia="Arial" w:cs="Arial" w:asciiTheme="minorAscii" w:hAnsiTheme="minorAscii" w:eastAsiaTheme="minorAscii" w:cstheme="minorAscii"/>
          <w:b w:val="1"/>
          <w:bCs w:val="1"/>
          <w:i w:val="0"/>
          <w:iCs w:val="0"/>
          <w:caps w:val="0"/>
          <w:smallCaps w:val="0"/>
          <w:noProof w:val="0"/>
          <w:color w:val="000000" w:themeColor="text1" w:themeTint="FF" w:themeShade="FF"/>
          <w:sz w:val="22"/>
          <w:szCs w:val="22"/>
          <w:lang w:val="tr-TR"/>
        </w:rPr>
      </w:pPr>
      <w:r w:rsidRPr="304F246B" w:rsidR="63E58E92">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 xml:space="preserve">DÜZENLEYİCİ KUM HAVUZLARI (REGULATORY SANDBOX) NEDİR? </w:t>
      </w:r>
      <w:r w:rsidRPr="304F246B" w:rsidR="63E58E92">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YEŞİL AKLAMANIN (GREENWASHING) BEDELİ VE ŞİRKETLERİ BEKLEYEN HUKUKİ RİSKLER</w:t>
      </w:r>
    </w:p>
    <w:p xmlns:wp14="http://schemas.microsoft.com/office/word/2010/wordml" w:rsidP="304F246B" wp14:paraId="5928D999" wp14:textId="21D9D9AD">
      <w:pPr>
        <w:pStyle w:val="ListParagraph"/>
        <w:spacing w:after="240" w:afterAutospacing="off" w:line="276" w:lineRule="auto"/>
        <w:ind w:left="0"/>
        <w:jc w:val="both"/>
        <w:rPr>
          <w:rFonts w:ascii="Arial" w:hAnsi="Arial" w:eastAsia="Arial" w:cs="Arial" w:asciiTheme="minorAscii" w:hAnsiTheme="minorAscii" w:eastAsiaTheme="minorAscii" w:cstheme="minorAscii"/>
          <w:b w:val="1"/>
          <w:bCs w:val="1"/>
          <w:i w:val="0"/>
          <w:iCs w:val="0"/>
          <w:caps w:val="0"/>
          <w:smallCaps w:val="0"/>
          <w:noProof w:val="0"/>
          <w:color w:val="000000" w:themeColor="text1" w:themeTint="FF" w:themeShade="FF"/>
          <w:sz w:val="22"/>
          <w:szCs w:val="22"/>
          <w:lang w:val="tr-TR"/>
        </w:rPr>
      </w:pPr>
      <w:r w:rsidRPr="304F246B" w:rsidR="4A075211">
        <w:rPr>
          <w:rFonts w:ascii="Arial" w:hAnsi="Arial" w:eastAsia="Arial" w:cs="Arial" w:asciiTheme="minorAscii" w:hAnsiTheme="minorAscii" w:eastAsiaTheme="minorAscii" w:cstheme="minorAscii"/>
          <w:b w:val="1"/>
          <w:bCs w:val="1"/>
          <w:i w:val="0"/>
          <w:iCs w:val="0"/>
          <w:caps w:val="0"/>
          <w:smallCaps w:val="0"/>
          <w:noProof w:val="0"/>
          <w:color w:val="auto"/>
          <w:sz w:val="22"/>
          <w:szCs w:val="22"/>
          <w:lang w:val="tr-TR"/>
        </w:rPr>
        <w:t>HAZİRAN 2025</w:t>
      </w:r>
    </w:p>
    <w:p xmlns:wp14="http://schemas.microsoft.com/office/word/2010/wordml" w:rsidP="304F246B" wp14:paraId="781C3606" wp14:textId="4CFDF405">
      <w:pPr>
        <w:pStyle w:val="Normal"/>
        <w:spacing w:after="240" w:afterAutospacing="off" w:line="276" w:lineRule="auto"/>
        <w:jc w:val="both"/>
        <w:rPr>
          <w:rFonts w:ascii="Arial" w:hAnsi="Arial" w:eastAsia="Arial" w:cs="Arial" w:asciiTheme="minorAscii" w:hAnsiTheme="minorAscii" w:eastAsiaTheme="minorAscii" w:cstheme="minorAscii"/>
          <w:b w:val="1"/>
          <w:bCs w:val="1"/>
          <w:noProof w:val="0"/>
          <w:color w:val="auto"/>
          <w:sz w:val="22"/>
          <w:szCs w:val="22"/>
          <w:lang w:val="tr-TR"/>
        </w:rPr>
      </w:pPr>
      <w:r w:rsidRPr="304F246B" w:rsidR="06B22C01">
        <w:rPr>
          <w:rFonts w:ascii="Arial" w:hAnsi="Arial" w:eastAsia="Arial" w:cs="Arial" w:asciiTheme="minorAscii" w:hAnsiTheme="minorAscii" w:eastAsiaTheme="minorAscii" w:cstheme="minorAscii"/>
          <w:b w:val="1"/>
          <w:bCs w:val="1"/>
          <w:noProof w:val="0"/>
          <w:color w:val="auto"/>
          <w:sz w:val="22"/>
          <w:szCs w:val="22"/>
          <w:lang w:val="tr-TR"/>
        </w:rPr>
        <w:t>A. Konu</w:t>
      </w:r>
    </w:p>
    <w:p xmlns:wp14="http://schemas.microsoft.com/office/word/2010/wordml" w:rsidP="304F246B" wp14:paraId="5E32AFE5" wp14:textId="20FB0C76">
      <w:pPr>
        <w:pStyle w:val="Normal"/>
        <w:spacing w:after="240" w:afterAutospacing="off" w:line="276" w:lineRule="auto"/>
        <w:jc w:val="both"/>
        <w:rPr>
          <w:rFonts w:ascii="Arial" w:hAnsi="Arial" w:eastAsia="Arial" w:cs="Arial" w:asciiTheme="minorAscii" w:hAnsiTheme="minorAscii" w:eastAsiaTheme="minorAscii" w:cstheme="minorAscii"/>
          <w:noProof w:val="0"/>
          <w:color w:val="auto"/>
          <w:sz w:val="22"/>
          <w:szCs w:val="22"/>
          <w:lang w:val="tr-TR"/>
        </w:rPr>
      </w:pP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 Tüketicilerin çevreye duyarlılığı arttıkça, pazarlama stratejilerinde “çevreci”, “ekolojik” “sürdürülebilir” gibi söylemler ön plana çıkıyor. Ancak bu trend, ilgili ifadelere müşteri iletişimlerinde yer veren şirketler açısından ciddi bir sorumluluğu da beraberinde getiriyor. </w:t>
      </w:r>
    </w:p>
    <w:p xmlns:wp14="http://schemas.microsoft.com/office/word/2010/wordml" w:rsidP="304F246B" wp14:paraId="32CCB2AE" wp14:textId="6911D310">
      <w:pPr>
        <w:pStyle w:val="Normal"/>
        <w:spacing w:after="240" w:afterAutospacing="off" w:line="276" w:lineRule="auto"/>
        <w:jc w:val="both"/>
        <w:rPr>
          <w:rFonts w:ascii="Arial" w:hAnsi="Arial" w:eastAsia="Arial" w:cs="Arial" w:asciiTheme="minorAscii" w:hAnsiTheme="minorAscii" w:eastAsiaTheme="minorAscii" w:cstheme="minorAscii"/>
          <w:b w:val="1"/>
          <w:bCs w:val="1"/>
          <w:noProof w:val="0"/>
          <w:color w:val="auto"/>
          <w:sz w:val="22"/>
          <w:szCs w:val="22"/>
          <w:lang w:val="tr-TR"/>
        </w:rPr>
      </w:pPr>
      <w:r w:rsidRPr="304F246B" w:rsidR="06B22C01">
        <w:rPr>
          <w:rFonts w:ascii="Arial" w:hAnsi="Arial" w:eastAsia="Arial" w:cs="Arial" w:asciiTheme="minorAscii" w:hAnsiTheme="minorAscii" w:eastAsiaTheme="minorAscii" w:cstheme="minorAscii"/>
          <w:b w:val="1"/>
          <w:bCs w:val="1"/>
          <w:noProof w:val="0"/>
          <w:color w:val="auto"/>
          <w:sz w:val="22"/>
          <w:szCs w:val="22"/>
          <w:lang w:val="tr-TR"/>
        </w:rPr>
        <w:t xml:space="preserve">B. İlgili Düzenlemeler </w:t>
      </w:r>
    </w:p>
    <w:p xmlns:wp14="http://schemas.microsoft.com/office/word/2010/wordml" w:rsidP="304F246B" wp14:paraId="736C4799" wp14:textId="12E3BC2C">
      <w:pPr>
        <w:pStyle w:val="Normal"/>
        <w:spacing w:after="240" w:afterAutospacing="off" w:line="276" w:lineRule="auto"/>
        <w:jc w:val="both"/>
        <w:rPr>
          <w:rFonts w:ascii="Arial" w:hAnsi="Arial" w:eastAsia="Arial" w:cs="Arial" w:asciiTheme="minorAscii" w:hAnsiTheme="minorAscii" w:eastAsiaTheme="minorAscii" w:cstheme="minorAscii"/>
          <w:noProof w:val="0"/>
          <w:color w:val="auto"/>
          <w:sz w:val="22"/>
          <w:szCs w:val="22"/>
          <w:lang w:val="tr-TR"/>
        </w:rPr>
      </w:pPr>
      <w:r w:rsidRPr="304F246B" w:rsidR="06B22C01">
        <w:rPr>
          <w:rFonts w:ascii="Arial" w:hAnsi="Arial" w:eastAsia="Arial" w:cs="Arial" w:asciiTheme="minorAscii" w:hAnsiTheme="minorAscii" w:eastAsiaTheme="minorAscii" w:cstheme="minorAscii"/>
          <w:noProof w:val="0"/>
          <w:color w:val="auto"/>
          <w:sz w:val="22"/>
          <w:szCs w:val="22"/>
          <w:lang w:val="tr-TR"/>
        </w:rPr>
        <w:t>Ticari Reklam ve Haksız Ticari Uygulamalar Yönetmeliği’nin (“Yönetmelik”) 17. maddesi, çevresel beyanlara ilişkin sınırları açıkça çizerek, tüketicinin çevre konusundaki hassasiyetinin istismar edilemeyeceğini ve akademik temeli olmayan bilimsel iddialara yer verilemeyeceğini ifade ediyor. Bu Yönetmelik’e dayanılarak Ticaret Bakanlığı’nca hazırlanan Çevreye İlişkin Beyanlar İçeren Reklamlar Hakkında Kılavuz (“Kılavuz”) ile daha detaylı belirlemelere yer veriliyor. Kılavuz’un 5. maddesi ile Yönetmelik’teki esaslara ek olarak tüketicilerin, gereği gibi bilgilendirilmesi için gerekli veri setinin, reklamın süresi, boyutu veya pazarlanma şekli gibi sebeplerle reklamlarda yer verilmesine olanak bulunmuyor ise bu kez tüketicilerin detaylı bilgi alabilecekleri bir mecraya yönlendirilmesi gereği belirtiliyor. İlaveten, zaten pazarlamaya konu ürünün doğası gereği koruması veya sürdürmesi gereken bir niteliğin o ürüne dair özellikli bir nitelik gibi pazarlanıyor olması da mevzuata aykırı olarak nitelendiriliyor. Kılavuz’da bu hususa örnek olarak halihazırda ilgili düzenlemeler gereği içeriğinde fosfat kullanılmasının oldukça sıkı şartlara bağlı olduğu deterjanlar bakımından, “fosfat kullanımını azaltıyoruz” şeklindeki reklamların tüketiciyi yanıltacağı belirtiliyor. Kılavuz’un devamında ise ürünün “</w:t>
      </w:r>
      <w:r w:rsidRPr="304F246B" w:rsidR="06B22C01">
        <w:rPr>
          <w:rFonts w:ascii="Arial" w:hAnsi="Arial" w:eastAsia="Arial" w:cs="Arial" w:asciiTheme="minorAscii" w:hAnsiTheme="minorAscii" w:eastAsiaTheme="minorAscii" w:cstheme="minorAscii"/>
          <w:noProof w:val="0"/>
          <w:color w:val="auto"/>
          <w:sz w:val="22"/>
          <w:szCs w:val="22"/>
          <w:lang w:val="tr-TR"/>
        </w:rPr>
        <w:t>bozunabilir</w:t>
      </w:r>
      <w:r w:rsidRPr="304F246B" w:rsidR="06B22C01">
        <w:rPr>
          <w:rFonts w:ascii="Arial" w:hAnsi="Arial" w:eastAsia="Arial" w:cs="Arial" w:asciiTheme="minorAscii" w:hAnsiTheme="minorAscii" w:eastAsiaTheme="minorAscii" w:cstheme="minorAscii"/>
          <w:noProof w:val="0"/>
          <w:color w:val="auto"/>
          <w:sz w:val="22"/>
          <w:szCs w:val="22"/>
          <w:lang w:val="tr-TR"/>
        </w:rPr>
        <w:t>” veya “geri dönüştürebilir” niteliğine, ürünün üretiminde kullanılan yenilenebilir enerjiye ve geri kazanılmış suya ilişkin beyanlar bakımından uyulması gereken esaslar sıralanıyor. Reklam Kurulu kararları ise bu ilkelere aykırı uygulamaları somut örneklerle ortaya koyuyor. “Çevreci taşıt kredisi” gibi ifadelerle, esasında kredinin sağladığı çevresel katkı, başkaca bir ürün için temin edilen krediye göre daha yüksek değil iken,  ürün/hizmetin olduğundan daha “yeşil” gösterilmesi1 , birden fazla ürünün pazarlandığı bir reklamda sürdürülebilirlik iddialarının hangi ürün grubunu konu aldığının açıkça belirtilmemesi2 veya tüketiciye detaylı bilgi sunulmaması, standartlara ve tevsik eden bilimsel verilere dayanmayan genel söylemlerle çevresel taahhütlerde bulunulması gibi haller, “ticari haksız kazanç” sağlamaya yönelik ve “tüketiciyi aldatıcı” olarak addediliyor. Nitekim Yargıtay da teknik olarak ispatı mümkün olmayan enerji tasarrufu iddialarının reklamda yer alması hâlinde iddiaların gerçek ve geçerli olduğu yönündeki ispat yükünün reklam veren şirkete ait olduğunu, aksi hâlde, bu tür beyanların haksız rekabet teşkil ettiğini ifade ettiği bir kararıyla</w:t>
      </w:r>
      <w:r w:rsidRPr="304F246B" w:rsidR="06B22C01">
        <w:rPr>
          <w:rFonts w:ascii="Arial" w:hAnsi="Arial" w:eastAsia="Arial" w:cs="Arial" w:asciiTheme="minorAscii" w:hAnsiTheme="minorAscii" w:eastAsiaTheme="minorAscii" w:cstheme="minorAscii"/>
          <w:noProof w:val="0"/>
          <w:color w:val="auto"/>
          <w:sz w:val="22"/>
          <w:szCs w:val="22"/>
          <w:lang w:val="tr-TR"/>
        </w:rPr>
        <w:t>3 ,</w:t>
      </w: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 Yönetmelik’teki esasları benimsiyor. Aynı kararda, reklamda yer alan bilimsel veriyi teyit eden belgelerin de akredite kurumlardan temin edilmesi gerektiğine dikkat çekiliyor. Tüm bu kararlar, çevre temalı reklamların yalnızca olumlu bir algıya hizmet etmesini değil; aynı zamanda doğru, şeffaf ve bilimsel temele dayalı olması gerektiğini net biçimde ortaya koyuyor. </w:t>
      </w:r>
    </w:p>
    <w:p xmlns:wp14="http://schemas.microsoft.com/office/word/2010/wordml" w:rsidP="304F246B" wp14:paraId="7B38D326" wp14:textId="7D882AB5">
      <w:pPr>
        <w:pStyle w:val="Normal"/>
        <w:spacing w:after="240" w:afterAutospacing="off" w:line="276" w:lineRule="auto"/>
        <w:jc w:val="both"/>
        <w:rPr>
          <w:rFonts w:ascii="Arial" w:hAnsi="Arial" w:eastAsia="Arial" w:cs="Arial" w:asciiTheme="minorAscii" w:hAnsiTheme="minorAscii" w:eastAsiaTheme="minorAscii" w:cstheme="minorAscii"/>
          <w:noProof w:val="0"/>
          <w:color w:val="auto"/>
          <w:sz w:val="22"/>
          <w:szCs w:val="22"/>
          <w:lang w:val="tr-TR"/>
        </w:rPr>
      </w:pPr>
      <w:r w:rsidRPr="304F246B" w:rsidR="06B22C01">
        <w:rPr>
          <w:rFonts w:ascii="Arial" w:hAnsi="Arial" w:eastAsia="Arial" w:cs="Arial" w:asciiTheme="minorAscii" w:hAnsiTheme="minorAscii" w:eastAsiaTheme="minorAscii" w:cstheme="minorAscii"/>
          <w:b w:val="1"/>
          <w:bCs w:val="1"/>
          <w:noProof w:val="0"/>
          <w:color w:val="auto"/>
          <w:sz w:val="22"/>
          <w:szCs w:val="22"/>
          <w:lang w:val="tr-TR"/>
        </w:rPr>
        <w:t>C. Düzenlemeye Aykırılığın Yaptırımı</w:t>
      </w: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 </w:t>
      </w:r>
    </w:p>
    <w:p xmlns:wp14="http://schemas.microsoft.com/office/word/2010/wordml" w:rsidP="304F246B" wp14:paraId="27EB550F" wp14:textId="4163C8A3">
      <w:pPr>
        <w:pStyle w:val="Normal"/>
        <w:spacing w:after="240" w:afterAutospacing="off" w:line="276" w:lineRule="auto"/>
        <w:jc w:val="both"/>
        <w:rPr>
          <w:rFonts w:ascii="Arial" w:hAnsi="Arial" w:eastAsia="Arial" w:cs="Arial" w:asciiTheme="minorAscii" w:hAnsiTheme="minorAscii" w:eastAsiaTheme="minorAscii" w:cstheme="minorAscii"/>
          <w:noProof w:val="0"/>
          <w:color w:val="auto"/>
          <w:sz w:val="22"/>
          <w:szCs w:val="22"/>
          <w:lang w:val="tr-TR"/>
        </w:rPr>
      </w:pP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24 Ekim 2024 tarihinde kabul edilen Tüketicinin Korunması Hakkında Kanun ile Bazı Kanunlarda Değişiklik Yapılmasına Dair Kanun gereği ticari reklam ve haksız ticari uygulamalar maddelerine aykırı hareket edenler için öngörülen idari para cezalarında güncelleme yapıldı. Böylelikle haksız ticari uygulamada bulunanlara 60.000 TL ile 600.000 </w:t>
      </w:r>
      <w:r w:rsidRPr="304F246B" w:rsidR="06B22C01">
        <w:rPr>
          <w:rFonts w:ascii="Arial" w:hAnsi="Arial" w:eastAsia="Arial" w:cs="Arial" w:asciiTheme="minorAscii" w:hAnsiTheme="minorAscii" w:eastAsiaTheme="minorAscii" w:cstheme="minorAscii"/>
          <w:noProof w:val="0"/>
          <w:color w:val="auto"/>
          <w:sz w:val="22"/>
          <w:szCs w:val="22"/>
          <w:lang w:val="tr-TR"/>
        </w:rPr>
        <w:t>TL ;</w:t>
      </w: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 aykırılığın ülke genelinde olması durumunda ise 600.000 TL ile 6.000.000 TL arası idari para cezası uygulanması öngörülmüştür. İlaveten, ticari reklam kurallarına aykırı hareket edenler hakkında reklamın yayımlandığı mecra baz alınarak 60.000 TL ila 22.100.000 TL arasında değişkenlik gösteren idari para cezaları da uygulanabilecektir. </w:t>
      </w:r>
    </w:p>
    <w:p xmlns:wp14="http://schemas.microsoft.com/office/word/2010/wordml" w:rsidP="304F246B" wp14:paraId="5207822D" wp14:textId="266DF18F">
      <w:pPr>
        <w:pStyle w:val="Normal"/>
        <w:spacing w:after="240" w:afterAutospacing="off" w:line="276" w:lineRule="auto"/>
        <w:jc w:val="both"/>
        <w:rPr>
          <w:rFonts w:ascii="Arial" w:hAnsi="Arial" w:eastAsia="Arial" w:cs="Arial" w:asciiTheme="minorAscii" w:hAnsiTheme="minorAscii" w:eastAsiaTheme="minorAscii" w:cstheme="minorAscii"/>
          <w:b w:val="1"/>
          <w:bCs w:val="1"/>
          <w:noProof w:val="0"/>
          <w:color w:val="auto"/>
          <w:sz w:val="22"/>
          <w:szCs w:val="22"/>
          <w:lang w:val="tr-TR"/>
        </w:rPr>
      </w:pPr>
      <w:r w:rsidRPr="304F246B" w:rsidR="06B22C01">
        <w:rPr>
          <w:rFonts w:ascii="Arial" w:hAnsi="Arial" w:eastAsia="Arial" w:cs="Arial" w:asciiTheme="minorAscii" w:hAnsiTheme="minorAscii" w:eastAsiaTheme="minorAscii" w:cstheme="minorAscii"/>
          <w:b w:val="1"/>
          <w:bCs w:val="1"/>
          <w:noProof w:val="0"/>
          <w:color w:val="auto"/>
          <w:sz w:val="22"/>
          <w:szCs w:val="22"/>
          <w:lang w:val="tr-TR"/>
        </w:rPr>
        <w:t xml:space="preserve">D. AB Düzenlemeleri </w:t>
      </w:r>
    </w:p>
    <w:p xmlns:wp14="http://schemas.microsoft.com/office/word/2010/wordml" w:rsidP="304F246B" wp14:paraId="3D860C6E" wp14:textId="0E1C3CAC">
      <w:pPr>
        <w:pStyle w:val="Normal"/>
        <w:spacing w:after="240" w:afterAutospacing="off" w:line="276" w:lineRule="auto"/>
        <w:jc w:val="both"/>
        <w:rPr>
          <w:rFonts w:ascii="Arial" w:hAnsi="Arial" w:eastAsia="Arial" w:cs="Arial" w:asciiTheme="minorAscii" w:hAnsiTheme="minorAscii" w:eastAsiaTheme="minorAscii" w:cstheme="minorAscii"/>
          <w:noProof w:val="0"/>
          <w:color w:val="auto"/>
          <w:sz w:val="22"/>
          <w:szCs w:val="22"/>
          <w:lang w:val="tr-TR"/>
        </w:rPr>
      </w:pP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Avrupa Birliği (“AB”) tarafında ise özellikle “yeşil” söylemlere dair esaslar mevzuata da yansımış durumda. Yeşil Beyanlar Direktifi Taslağı ile 2026 yılı itibariyle "doğa dostu", "doğal", "biyolojik olarak çözünebilir" veya "iklim nötr" gibi ifadelerin kullanımı, AB genelinde oldukça sıkı şartlara bağlanmış olacak. Bu tür çevresel beyanlar akredite bir üçüncü tarafça doğrulanmadıkça, AB nezdinde tanınan bir sertifikasyon sistemine dayanmadıkça ve pazarlanan ürünün tüm yaşam döngüsünü kapsayan bilimsel 1 Reklam Kurulu’nun D. 2025/7947, T. No. 353, T. 16.1.2025 kararı 2 Reklam Kurulu’nun D. 2023/1026, T. No. 341, T. 9.1.2024 kararı 3 Yargıtay Hukuk Genel Kurulu’nun E. 2019/519 K. 2022/83 T. 8.2.2022 kararı Sayfa 3 / 3 kanıtlarla desteklenmedikçe ürüne dair hiçbir bilgilendirme yazısında bu ifadelere yer verilemeyecek. AB’nin bu alandaki yasal düzenlemelerinin Türkiye’ye kıyasen daha gelişmiş durumda olması ise tesadüf değil. Zira AB menşeili şirketler, uzun süredir özellikle sivil toplum kuruluşlarınca (“STK”) şirketlere yöneltilen “tüketicileri yanıltıcı ve </w:t>
      </w:r>
      <w:r w:rsidRPr="304F246B" w:rsidR="06B22C01">
        <w:rPr>
          <w:rFonts w:ascii="Arial" w:hAnsi="Arial" w:eastAsia="Arial" w:cs="Arial" w:asciiTheme="minorAscii" w:hAnsiTheme="minorAscii" w:eastAsiaTheme="minorAscii" w:cstheme="minorAscii"/>
          <w:noProof w:val="0"/>
          <w:color w:val="auto"/>
          <w:sz w:val="22"/>
          <w:szCs w:val="22"/>
          <w:lang w:val="tr-TR"/>
        </w:rPr>
        <w:t>greenwashing’e</w:t>
      </w: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 konu” uygulamaları yargı yoluna taşımakta. Yakın zamanda ilk derece mahkemesince karara çıkmış olması sebebiyle dikkat çeken örneklerde biri, </w:t>
      </w:r>
      <w:r w:rsidRPr="304F246B" w:rsidR="06B22C01">
        <w:rPr>
          <w:rFonts w:ascii="Arial" w:hAnsi="Arial" w:eastAsia="Arial" w:cs="Arial" w:asciiTheme="minorAscii" w:hAnsiTheme="minorAscii" w:eastAsiaTheme="minorAscii" w:cstheme="minorAscii"/>
          <w:noProof w:val="0"/>
          <w:color w:val="auto"/>
          <w:sz w:val="22"/>
          <w:szCs w:val="22"/>
          <w:lang w:val="tr-TR"/>
        </w:rPr>
        <w:t>Deutsche</w:t>
      </w: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 </w:t>
      </w:r>
      <w:r w:rsidRPr="304F246B" w:rsidR="06B22C01">
        <w:rPr>
          <w:rFonts w:ascii="Arial" w:hAnsi="Arial" w:eastAsia="Arial" w:cs="Arial" w:asciiTheme="minorAscii" w:hAnsiTheme="minorAscii" w:eastAsiaTheme="minorAscii" w:cstheme="minorAscii"/>
          <w:noProof w:val="0"/>
          <w:color w:val="auto"/>
          <w:sz w:val="22"/>
          <w:szCs w:val="22"/>
          <w:lang w:val="tr-TR"/>
        </w:rPr>
        <w:t>Umwelthilfe</w:t>
      </w: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 (DUH) tarafından </w:t>
      </w:r>
      <w:r w:rsidRPr="304F246B" w:rsidR="06B22C01">
        <w:rPr>
          <w:rFonts w:ascii="Arial" w:hAnsi="Arial" w:eastAsia="Arial" w:cs="Arial" w:asciiTheme="minorAscii" w:hAnsiTheme="minorAscii" w:eastAsiaTheme="minorAscii" w:cstheme="minorAscii"/>
          <w:noProof w:val="0"/>
          <w:color w:val="auto"/>
          <w:sz w:val="22"/>
          <w:szCs w:val="22"/>
          <w:lang w:val="tr-TR"/>
        </w:rPr>
        <w:t>Lutfhansa’ya</w:t>
      </w: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 açılan dava oldu. Almanya merkezli bir STK olan DUH, Lufthansa’nın bilet satış sürecinde sunduğu “karbon dengeleme” seçeneğinin aslında yanıltıcı olduğunu savundu. Şirket, yolculara ekstra bir ücret karşılığında uçuşlarının çevresel etkilerini orman koruma gibi projelerle telafi edebileceklerini vaat ediyordu. Mahkeme, Lufthansa'nın sunduğu dengeleme seçeneklerinin, uçuşların tüm iklim etkilerini kapsamadığını ve tüketicilere uçuşlarının tamamen iklim dostu olduğu izlenimini verdiğini belirtti</w:t>
      </w:r>
      <w:r w:rsidRPr="304F246B" w:rsidR="06B22C01">
        <w:rPr>
          <w:rFonts w:ascii="Arial" w:hAnsi="Arial" w:eastAsia="Arial" w:cs="Arial" w:asciiTheme="minorAscii" w:hAnsiTheme="minorAscii" w:eastAsiaTheme="minorAscii" w:cstheme="minorAscii"/>
          <w:noProof w:val="0"/>
          <w:color w:val="auto"/>
          <w:sz w:val="22"/>
          <w:szCs w:val="22"/>
          <w:lang w:val="tr-TR"/>
        </w:rPr>
        <w:t>4 .</w:t>
      </w: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 Mahkemelerin yeşil aklama ekseninde incelediği davalarda verdiği kararlarla yalnızca ürünlerin pazarlanmasına son verilmesiyle yetinmediğini de belirtmek gerek. Nitekim, dünya genelinde bazı şirketler ciddi para cezalarına da çarptırılmış durumda. Örneğin, Volkswagen araçlarında emisyon testlerini yanıltmaya yönelik yazılımlar kullanması nedeniyle 34,69 milyar dolarlık rekor bir cezaya mahkûm edildi. Toyota, emisyonlarla ilgili raporları geç paylaşması sebebiyle 180 milyon dolar, DWS ise, çevresel sürdürülebilirlik kriterlerine uymayan bazı yatırım fonlarını gerçekte olduğundan daha "yeşil" olarak pazarladığı iddiasıyla 25 milyon dolar para cezası ödemek durumunda kaldı. </w:t>
      </w:r>
    </w:p>
    <w:p xmlns:wp14="http://schemas.microsoft.com/office/word/2010/wordml" w:rsidP="304F246B" wp14:paraId="14122EB4" wp14:textId="200C153B">
      <w:pPr>
        <w:pStyle w:val="Normal"/>
        <w:spacing w:after="240" w:afterAutospacing="off" w:line="276" w:lineRule="auto"/>
        <w:jc w:val="both"/>
        <w:rPr>
          <w:rFonts w:ascii="Arial" w:hAnsi="Arial" w:eastAsia="Arial" w:cs="Arial" w:asciiTheme="minorAscii" w:hAnsiTheme="minorAscii" w:eastAsiaTheme="minorAscii" w:cstheme="minorAscii"/>
          <w:b w:val="1"/>
          <w:bCs w:val="1"/>
          <w:noProof w:val="0"/>
          <w:color w:val="auto"/>
          <w:sz w:val="22"/>
          <w:szCs w:val="22"/>
          <w:lang w:val="tr-TR"/>
        </w:rPr>
      </w:pPr>
      <w:r w:rsidRPr="304F246B" w:rsidR="06B22C01">
        <w:rPr>
          <w:rFonts w:ascii="Arial" w:hAnsi="Arial" w:eastAsia="Arial" w:cs="Arial" w:asciiTheme="minorAscii" w:hAnsiTheme="minorAscii" w:eastAsiaTheme="minorAscii" w:cstheme="minorAscii"/>
          <w:b w:val="1"/>
          <w:bCs w:val="1"/>
          <w:noProof w:val="0"/>
          <w:color w:val="auto"/>
          <w:sz w:val="22"/>
          <w:szCs w:val="22"/>
          <w:lang w:val="tr-TR"/>
        </w:rPr>
        <w:t xml:space="preserve">E. Sonuç </w:t>
      </w:r>
    </w:p>
    <w:p xmlns:wp14="http://schemas.microsoft.com/office/word/2010/wordml" w:rsidP="304F246B" wp14:paraId="1FE1E871" wp14:textId="2E62CC72">
      <w:pPr>
        <w:pStyle w:val="Normal"/>
        <w:spacing w:after="240" w:afterAutospacing="off" w:line="276" w:lineRule="auto"/>
        <w:jc w:val="both"/>
        <w:rPr>
          <w:rFonts w:ascii="Arial" w:hAnsi="Arial" w:eastAsia="Arial" w:cs="Arial" w:asciiTheme="minorAscii" w:hAnsiTheme="minorAscii" w:eastAsiaTheme="minorAscii" w:cstheme="minorAscii"/>
          <w:noProof w:val="0"/>
          <w:color w:val="auto"/>
          <w:sz w:val="22"/>
          <w:szCs w:val="22"/>
          <w:lang w:val="tr-TR"/>
        </w:rPr>
      </w:pP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Tüm bu gelişmeler, çevresel beyanların yalnızca pazarlama stratejilerinin bir parçası olarak görülmesinin artık mümkün olmadığını gösteriyor. Gerek ulusal </w:t>
      </w:r>
      <w:r w:rsidRPr="304F246B" w:rsidR="06B22C01">
        <w:rPr>
          <w:rFonts w:ascii="Arial" w:hAnsi="Arial" w:eastAsia="Arial" w:cs="Arial" w:asciiTheme="minorAscii" w:hAnsiTheme="minorAscii" w:eastAsiaTheme="minorAscii" w:cstheme="minorAscii"/>
          <w:noProof w:val="0"/>
          <w:color w:val="auto"/>
          <w:sz w:val="22"/>
          <w:szCs w:val="22"/>
          <w:lang w:val="tr-TR"/>
        </w:rPr>
        <w:t>mevzuat,</w:t>
      </w:r>
      <w:r w:rsidRPr="304F246B" w:rsidR="06B22C01">
        <w:rPr>
          <w:rFonts w:ascii="Arial" w:hAnsi="Arial" w:eastAsia="Arial" w:cs="Arial" w:asciiTheme="minorAscii" w:hAnsiTheme="minorAscii" w:eastAsiaTheme="minorAscii" w:cstheme="minorAscii"/>
          <w:noProof w:val="0"/>
          <w:color w:val="auto"/>
          <w:sz w:val="22"/>
          <w:szCs w:val="22"/>
          <w:lang w:val="tr-TR"/>
        </w:rPr>
        <w:t xml:space="preserve"> gerekse AB düzenlemeleri, şirketlerin çevre temalı iddialarını ciddi bir denetim süzgecinden geçirmesini ve somut, bilimsel temellere dayandırmasını zorunlu kılıyor. Aksi hâlde, tüketiciyi yanıltma riski taşıyan her söylem, yalnızca marka itibarını zedelemekle kalmayıp idari yaptırımlar, para cezaları ve hatta yargı süreçleriyle karşı karşıya kalınmasına neden olabiliyor. Dolayısıyla, “yeşil” pazarlama stratejilerinde dikkatli ve şeffaf bir dil benimsemek, yalnızca hukuki yükümlülüklerin değil, aynı zamanda kurumsal sürdürülebilirliğin de temel bir gereği hâline geliyor. Ayrıntılı bilgi için bizimle iletişime geçebilirsiniz: info@eclawtr.com</w:t>
      </w:r>
    </w:p>
    <w:p xmlns:wp14="http://schemas.microsoft.com/office/word/2010/wordml" w:rsidP="304F246B" wp14:paraId="1DB4442F" wp14:textId="3EA50080">
      <w:pPr>
        <w:spacing w:after="240" w:afterAutospacing="off" w:line="276" w:lineRule="auto"/>
        <w:jc w:val="both"/>
        <w:rPr>
          <w:rFonts w:ascii="Arial" w:hAnsi="Arial" w:eastAsia="Arial" w:cs="Arial" w:asciiTheme="minorAscii" w:hAnsiTheme="minorAscii" w:eastAsiaTheme="minorAscii" w:cstheme="minorAscii"/>
          <w:color w:val="auto"/>
          <w:sz w:val="22"/>
          <w:szCs w:val="22"/>
        </w:rPr>
      </w:pPr>
    </w:p>
    <w:sectPr>
      <w:pgSz w:w="11906" w:h="16838" w:orient="portrait"/>
      <w:pgMar w:top="1440" w:right="1440" w:bottom="1440" w:left="1440" w:header="708" w:footer="708" w:gutter="0"/>
      <w:cols w:space="708"/>
      <w:docGrid w:linePitch="360"/>
      <w:headerReference w:type="default" r:id="Radca2b78c6bc448c"/>
      <w:footerReference w:type="default" r:id="R6ba00ad66353487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xmlns:wp14="http://schemas.microsoft.com/office/word/2010/wordprocessingDrawing"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mc="http://schemas.openxmlformats.org/markup-compatibility/2006" mc:Ignorable="wp14 w15 w16se w16cid w16 w16cex w16sdtdh w16sdtfl">
  <w:tbl>
    <w:tblPr>
      <w:tblStyle w:val="TableNormal"/>
      <w:bidiVisual w:val="0"/>
      <w:tblW w:w="0" w:type="auto"/>
      <w:tblLook w:val="06A0" w:firstRow="1" w:lastRow="0" w:firstColumn="1" w:lastColumn="0" w:noHBand="1" w:noVBand="1"/>
    </w:tblPr>
    <w:tblGrid>
      <w:gridCol w:w="3005"/>
      <w:gridCol w:w="3005"/>
      <w:gridCol w:w="3005"/>
    </w:tblGrid>
    <w:tr w:rsidR="2AD03545" w:rsidTr="2AD03545" w14:paraId="51EA855D">
      <w:trPr>
        <w:trHeight w:val="300"/>
      </w:trPr>
      <w:tc>
        <w:tcPr>
          <w:tcW w:w="3005" w:type="dxa"/>
          <w:tcMar/>
        </w:tcPr>
        <w:p w:rsidR="2AD03545" w:rsidP="2AD03545" w:rsidRDefault="2AD03545" w14:paraId="0CDA22D1" w14:textId="7CF5E878">
          <w:pPr>
            <w:pStyle w:val="Header"/>
            <w:bidi w:val="0"/>
            <w:ind w:left="-115"/>
            <w:jc w:val="left"/>
          </w:pPr>
        </w:p>
      </w:tc>
      <w:tc>
        <w:tcPr>
          <w:tcW w:w="3005" w:type="dxa"/>
          <w:tcMar/>
        </w:tcPr>
        <w:p w:rsidR="2AD03545" w:rsidP="2AD03545" w:rsidRDefault="2AD03545" w14:paraId="586D42FD" w14:textId="162B4B5B">
          <w:pPr>
            <w:pStyle w:val="Header"/>
            <w:bidi w:val="0"/>
            <w:jc w:val="center"/>
          </w:pPr>
        </w:p>
      </w:tc>
      <w:tc>
        <w:tcPr>
          <w:tcW w:w="3005" w:type="dxa"/>
          <w:tcMar/>
        </w:tcPr>
        <w:p w:rsidR="2AD03545" w:rsidP="2AD03545" w:rsidRDefault="2AD03545" w14:paraId="60E54713" w14:textId="2E9B57C6">
          <w:pPr>
            <w:pStyle w:val="Header"/>
            <w:bidi w:val="0"/>
            <w:ind w:right="-115"/>
            <w:jc w:val="right"/>
          </w:pPr>
        </w:p>
      </w:tc>
    </w:tr>
  </w:tbl>
  <w:p w:rsidR="2AD03545" w:rsidP="2AD03545" w:rsidRDefault="2AD03545" w14:paraId="7B6406A5" w14:textId="444A5C6F">
    <w:pPr>
      <w:pStyle w:val="Footer"/>
      <w:bidi w:val="0"/>
    </w:pPr>
  </w:p>
</w:ftr>
</file>

<file path=word/header.xml><?xml version="1.0" encoding="utf-8"?>
<w:hdr xmlns:w14="http://schemas.microsoft.com/office/word/2010/wordml" xmlns:w="http://schemas.openxmlformats.org/wordprocessingml/2006/main" xmlns:wp14="http://schemas.microsoft.com/office/word/2010/wordprocessingDrawing"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mc="http://schemas.openxmlformats.org/markup-compatibility/2006" mc:Ignorable="wp14 w15 w16se w16cid w16 w16cex w16sdtdh w16sdtfl">
  <w:tbl>
    <w:tblPr>
      <w:tblStyle w:val="TableNormal"/>
      <w:bidiVisual w:val="0"/>
      <w:tblW w:w="0" w:type="auto"/>
      <w:tblLook w:val="06A0" w:firstRow="1" w:lastRow="0" w:firstColumn="1" w:lastColumn="0" w:noHBand="1" w:noVBand="1"/>
    </w:tblPr>
    <w:tblGrid>
      <w:gridCol w:w="3005"/>
      <w:gridCol w:w="3005"/>
      <w:gridCol w:w="3005"/>
    </w:tblGrid>
    <w:tr w:rsidR="2AD03545" w:rsidTr="2AD03545" w14:paraId="39F67FE6">
      <w:trPr>
        <w:trHeight w:val="300"/>
      </w:trPr>
      <w:tc>
        <w:tcPr>
          <w:tcW w:w="3005" w:type="dxa"/>
          <w:tcMar/>
        </w:tcPr>
        <w:p w:rsidR="2AD03545" w:rsidP="2AD03545" w:rsidRDefault="2AD03545" w14:paraId="5F8EAB89" w14:textId="7AA54D57">
          <w:pPr>
            <w:pStyle w:val="Header"/>
            <w:bidi w:val="0"/>
            <w:ind w:left="-115"/>
            <w:jc w:val="left"/>
          </w:pPr>
        </w:p>
      </w:tc>
      <w:tc>
        <w:tcPr>
          <w:tcW w:w="3005" w:type="dxa"/>
          <w:tcMar/>
        </w:tcPr>
        <w:p w:rsidR="2AD03545" w:rsidP="2AD03545" w:rsidRDefault="2AD03545" w14:paraId="3DB1390C" w14:textId="01B693F7">
          <w:pPr>
            <w:pStyle w:val="Header"/>
            <w:bidi w:val="0"/>
            <w:jc w:val="center"/>
          </w:pPr>
        </w:p>
      </w:tc>
      <w:tc>
        <w:tcPr>
          <w:tcW w:w="3005" w:type="dxa"/>
          <w:tcMar/>
        </w:tcPr>
        <w:p w:rsidR="2AD03545" w:rsidP="2AD03545" w:rsidRDefault="2AD03545" w14:paraId="2060205E" w14:textId="5CE8D40B">
          <w:pPr>
            <w:pStyle w:val="Header"/>
            <w:bidi w:val="0"/>
            <w:ind w:right="-115"/>
            <w:jc w:val="right"/>
          </w:pPr>
        </w:p>
      </w:tc>
    </w:tr>
  </w:tbl>
  <w:p w:rsidR="2AD03545" w:rsidP="2AD03545" w:rsidRDefault="2AD03545" w14:paraId="7F702241" w14:textId="58FDFA2C">
    <w:pPr>
      <w:pStyle w:val="Header"/>
      <w:bidi w:val="0"/>
    </w:pPr>
  </w:p>
</w:hdr>
</file>

<file path=word/numbering.xml><?xml version="1.0" encoding="utf-8"?>
<w:numbering xmlns:w="http://schemas.openxmlformats.org/wordprocessingml/2006/main">
  <w:abstractNum xmlns:w="http://schemas.openxmlformats.org/wordprocessingml/2006/main" w:abstractNumId="7">
    <w:nsid w:val="4d9cc2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39a9a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ac86b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c9665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9b24a2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3435a"/>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5528117f"/>
    <w:multiLevelType xmlns:w="http://schemas.openxmlformats.org/wordprocessingml/2006/main" w:val="hybridMultilevel"/>
    <w:lvl xmlns:w="http://schemas.openxmlformats.org/wordprocessingml/2006/main" w:ilvl="0">
      <w:start w:val="5"/>
      <w:numFmt w:val="upperRoman"/>
      <w:lvlText w:val="%1."/>
      <w:lvlJc w:val="righ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74014"/>
    <w:rsid w:val="01174014"/>
    <w:rsid w:val="016B6FDF"/>
    <w:rsid w:val="031249E5"/>
    <w:rsid w:val="031269CC"/>
    <w:rsid w:val="03CF8B45"/>
    <w:rsid w:val="04486804"/>
    <w:rsid w:val="05EFFC52"/>
    <w:rsid w:val="06B22C01"/>
    <w:rsid w:val="06EA3542"/>
    <w:rsid w:val="07B00D7D"/>
    <w:rsid w:val="0B026D02"/>
    <w:rsid w:val="0C301778"/>
    <w:rsid w:val="0F08A768"/>
    <w:rsid w:val="0F365A32"/>
    <w:rsid w:val="11C77E64"/>
    <w:rsid w:val="1425D4FB"/>
    <w:rsid w:val="15B88616"/>
    <w:rsid w:val="15F835C2"/>
    <w:rsid w:val="1B3A52C0"/>
    <w:rsid w:val="1C0D6C77"/>
    <w:rsid w:val="1D92A172"/>
    <w:rsid w:val="1E528502"/>
    <w:rsid w:val="214A5C5B"/>
    <w:rsid w:val="215478DD"/>
    <w:rsid w:val="225DA72F"/>
    <w:rsid w:val="2299DE48"/>
    <w:rsid w:val="2505B28E"/>
    <w:rsid w:val="25282645"/>
    <w:rsid w:val="26178ADF"/>
    <w:rsid w:val="27D3AE7D"/>
    <w:rsid w:val="2A2DD966"/>
    <w:rsid w:val="2AD03545"/>
    <w:rsid w:val="2B34E788"/>
    <w:rsid w:val="2B78F164"/>
    <w:rsid w:val="2D9DFC96"/>
    <w:rsid w:val="2DBBE0E7"/>
    <w:rsid w:val="2F3FCEFB"/>
    <w:rsid w:val="2F5C665A"/>
    <w:rsid w:val="304F246B"/>
    <w:rsid w:val="31D90EB3"/>
    <w:rsid w:val="33F88500"/>
    <w:rsid w:val="34F12523"/>
    <w:rsid w:val="35FD8DC9"/>
    <w:rsid w:val="3633C7A2"/>
    <w:rsid w:val="36341A72"/>
    <w:rsid w:val="3894B69E"/>
    <w:rsid w:val="38C5F0A0"/>
    <w:rsid w:val="3A3B7AFF"/>
    <w:rsid w:val="3BB8C3F2"/>
    <w:rsid w:val="3F265E7C"/>
    <w:rsid w:val="40F4FC90"/>
    <w:rsid w:val="42B18C1E"/>
    <w:rsid w:val="45A53819"/>
    <w:rsid w:val="469241B6"/>
    <w:rsid w:val="4A075211"/>
    <w:rsid w:val="4B28391D"/>
    <w:rsid w:val="4B37E2CE"/>
    <w:rsid w:val="4B47BB4F"/>
    <w:rsid w:val="4B4EDB9F"/>
    <w:rsid w:val="4C4622C2"/>
    <w:rsid w:val="4D878AEB"/>
    <w:rsid w:val="4F04C2E9"/>
    <w:rsid w:val="53195AD4"/>
    <w:rsid w:val="53D7717C"/>
    <w:rsid w:val="5657C968"/>
    <w:rsid w:val="582DC0C3"/>
    <w:rsid w:val="584E7D7B"/>
    <w:rsid w:val="5901324B"/>
    <w:rsid w:val="5A6EC023"/>
    <w:rsid w:val="5B2DB85E"/>
    <w:rsid w:val="5BEEE5E6"/>
    <w:rsid w:val="5C934007"/>
    <w:rsid w:val="5D3543E5"/>
    <w:rsid w:val="5D8BC549"/>
    <w:rsid w:val="604C242A"/>
    <w:rsid w:val="609C5A3E"/>
    <w:rsid w:val="62317610"/>
    <w:rsid w:val="623B7854"/>
    <w:rsid w:val="63E58E92"/>
    <w:rsid w:val="642C2C3C"/>
    <w:rsid w:val="643F5FC1"/>
    <w:rsid w:val="66562E1E"/>
    <w:rsid w:val="680B9344"/>
    <w:rsid w:val="69203B93"/>
    <w:rsid w:val="6BA9C515"/>
    <w:rsid w:val="6CC5B278"/>
    <w:rsid w:val="6E3873C1"/>
    <w:rsid w:val="6EAD727F"/>
    <w:rsid w:val="6EBB0AC5"/>
    <w:rsid w:val="6F51BD90"/>
    <w:rsid w:val="6FEFE165"/>
    <w:rsid w:val="717DC098"/>
    <w:rsid w:val="7312A976"/>
    <w:rsid w:val="731E6CF1"/>
    <w:rsid w:val="73350074"/>
    <w:rsid w:val="73B0B70E"/>
    <w:rsid w:val="77E73B84"/>
    <w:rsid w:val="7801F364"/>
    <w:rsid w:val="7B7E8043"/>
    <w:rsid w:val="7C5DB6E4"/>
    <w:rsid w:val="7D58BE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A5C5B"/>
  <w15:chartTrackingRefBased/>
  <w15:docId w15:val="{33CA5981-1252-477B-8948-35F506B23B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tr-T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2AD03545"/>
    <w:pPr>
      <w:spacing/>
      <w:ind w:left="720"/>
      <w:contextualSpacing/>
    </w:pPr>
  </w:style>
  <w:style w:type="paragraph" w:styleId="Heading1">
    <w:uiPriority w:val="9"/>
    <w:name w:val="heading 1"/>
    <w:basedOn w:val="Normal"/>
    <w:next w:val="Normal"/>
    <w:qFormat/>
    <w:rsid w:val="2AD03545"/>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2AD03545"/>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er">
    <w:uiPriority w:val="99"/>
    <w:name w:val="header"/>
    <w:basedOn w:val="Normal"/>
    <w:unhideWhenUsed/>
    <w:rsid w:val="2AD03545"/>
    <w:pPr>
      <w:tabs>
        <w:tab w:val="center" w:leader="none" w:pos="4680"/>
        <w:tab w:val="right" w:leader="none" w:pos="9360"/>
      </w:tabs>
      <w:spacing w:after="0" w:line="240" w:lineRule="auto"/>
    </w:pPr>
  </w:style>
  <w:style w:type="paragraph" w:styleId="Footer">
    <w:uiPriority w:val="99"/>
    <w:name w:val="footer"/>
    <w:basedOn w:val="Normal"/>
    <w:unhideWhenUsed/>
    <w:rsid w:val="2AD03545"/>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header" Target="header.xml" Id="Radca2b78c6bc448c" /><Relationship Type="http://schemas.openxmlformats.org/officeDocument/2006/relationships/numbering" Target="numbering.xml" Id="R50f28c098eb14f8e"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oter" Target="footer.xml" Id="R6ba00ad66353487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4EDC9EB1-B18B-4846-BEDC-0049772CE34D}"/>
</file>

<file path=customXml/itemProps2.xml><?xml version="1.0" encoding="utf-8"?>
<ds:datastoreItem xmlns:ds="http://schemas.openxmlformats.org/officeDocument/2006/customXml" ds:itemID="{58F4456F-6576-4397-A9F2-4D987DA03E89}"/>
</file>

<file path=customXml/itemProps3.xml><?xml version="1.0" encoding="utf-8"?>
<ds:datastoreItem xmlns:ds="http://schemas.openxmlformats.org/officeDocument/2006/customXml" ds:itemID="{5948CD18-7BE2-4A87-AC20-C321331A71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Ezgi  Oprukçu</dc:creator>
  <keywords/>
  <dc:description/>
  <lastModifiedBy>Ezgi  Oprukçu</lastModifiedBy>
  <dcterms:created xsi:type="dcterms:W3CDTF">2026-04-20T08:03:32.0000000Z</dcterms:created>
  <dcterms:modified xsi:type="dcterms:W3CDTF">2026-05-08T13:12:17.8116765Z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y fmtid="{D5CDD505-2E9C-101B-9397-08002B2CF9AE}" pid="3" name="MediaServiceImageTags">
    <vt:lpwstr/>
  </property>
</Properties>
</file>