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6DA88" w14:textId="42963A7D" w:rsidR="00F81728" w:rsidRDefault="00F81728" w:rsidP="00F81728">
      <w:pPr>
        <w:ind w:left="720"/>
        <w:jc w:val="right"/>
        <w:rPr>
          <w:rFonts w:ascii="Times New Roman" w:hAnsi="Times New Roman" w:cs="Times New Roman"/>
          <w:b/>
          <w:bCs/>
          <w:sz w:val="22"/>
          <w:szCs w:val="22"/>
        </w:rPr>
      </w:pPr>
      <w:r>
        <w:rPr>
          <w:rFonts w:ascii="Times New Roman" w:hAnsi="Times New Roman" w:cs="Times New Roman"/>
          <w:b/>
          <w:bCs/>
          <w:sz w:val="22"/>
          <w:szCs w:val="22"/>
        </w:rPr>
        <w:t>ARALIK 2025 – MART 2026</w:t>
      </w:r>
    </w:p>
    <w:p w14:paraId="0F3AF1A9" w14:textId="08A9DA42" w:rsidR="00631422" w:rsidRPr="008927B0" w:rsidRDefault="00E96649" w:rsidP="00631422">
      <w:pPr>
        <w:ind w:left="720"/>
        <w:rPr>
          <w:rFonts w:ascii="Times New Roman" w:hAnsi="Times New Roman" w:cs="Times New Roman"/>
          <w:b/>
          <w:bCs/>
          <w:sz w:val="22"/>
          <w:szCs w:val="22"/>
        </w:rPr>
      </w:pPr>
      <w:r w:rsidRPr="008927B0">
        <w:rPr>
          <w:rFonts w:ascii="Times New Roman" w:hAnsi="Times New Roman" w:cs="Times New Roman"/>
          <w:b/>
          <w:bCs/>
          <w:sz w:val="22"/>
          <w:szCs w:val="22"/>
        </w:rPr>
        <w:t>IX.</w:t>
      </w:r>
      <w:r w:rsidR="00631422" w:rsidRPr="008927B0">
        <w:rPr>
          <w:rFonts w:ascii="Times New Roman" w:hAnsi="Times New Roman" w:cs="Times New Roman"/>
          <w:b/>
          <w:bCs/>
          <w:sz w:val="22"/>
          <w:szCs w:val="22"/>
        </w:rPr>
        <w:t xml:space="preserve"> </w:t>
      </w:r>
      <w:r w:rsidRPr="008927B0">
        <w:rPr>
          <w:rFonts w:ascii="Times New Roman" w:hAnsi="Times New Roman" w:cs="Times New Roman"/>
          <w:b/>
          <w:bCs/>
          <w:sz w:val="22"/>
          <w:szCs w:val="22"/>
        </w:rPr>
        <w:t xml:space="preserve"> </w:t>
      </w:r>
      <w:r w:rsidR="00631422" w:rsidRPr="008927B0">
        <w:rPr>
          <w:rFonts w:ascii="Times New Roman" w:hAnsi="Times New Roman" w:cs="Times New Roman"/>
          <w:b/>
          <w:bCs/>
          <w:sz w:val="22"/>
          <w:szCs w:val="22"/>
        </w:rPr>
        <w:t>ŞİRKET İÇİ UYUŞMAZLIKLAR VE TİCARİ SÖZLEŞMELER</w:t>
      </w:r>
    </w:p>
    <w:p w14:paraId="0DFA8B5E" w14:textId="77777777" w:rsidR="005C3A4F" w:rsidRPr="008927B0" w:rsidRDefault="005C3A4F" w:rsidP="005C3A4F">
      <w:pPr>
        <w:spacing w:after="0"/>
        <w:jc w:val="both"/>
        <w:rPr>
          <w:rFonts w:ascii="Times New Roman" w:hAnsi="Times New Roman" w:cs="Times New Roman"/>
          <w:b/>
          <w:bCs/>
          <w:sz w:val="22"/>
          <w:szCs w:val="22"/>
        </w:rPr>
      </w:pPr>
    </w:p>
    <w:p w14:paraId="1411DF0D" w14:textId="251A4662" w:rsidR="005C3A4F" w:rsidRPr="008927B0" w:rsidRDefault="00F43F76" w:rsidP="00F43F76">
      <w:pPr>
        <w:spacing w:after="0"/>
        <w:jc w:val="right"/>
        <w:rPr>
          <w:rFonts w:ascii="Times New Roman" w:hAnsi="Times New Roman" w:cs="Times New Roman"/>
          <w:b/>
          <w:bCs/>
          <w:sz w:val="22"/>
          <w:szCs w:val="22"/>
        </w:rPr>
      </w:pPr>
      <w:r>
        <w:rPr>
          <w:rFonts w:ascii="Times New Roman" w:hAnsi="Times New Roman" w:cs="Times New Roman"/>
          <w:b/>
          <w:bCs/>
          <w:sz w:val="22"/>
          <w:szCs w:val="22"/>
        </w:rPr>
        <w:t>MART 2026</w:t>
      </w:r>
    </w:p>
    <w:p w14:paraId="472C7B90" w14:textId="77777777" w:rsidR="008A705A" w:rsidRPr="008927B0" w:rsidRDefault="008A705A" w:rsidP="008A705A">
      <w:pPr>
        <w:pStyle w:val="ListeParagraf"/>
        <w:numPr>
          <w:ilvl w:val="0"/>
          <w:numId w:val="2"/>
        </w:numPr>
        <w:spacing w:after="0"/>
        <w:ind w:left="0"/>
        <w:jc w:val="both"/>
        <w:rPr>
          <w:rFonts w:ascii="Times New Roman" w:hAnsi="Times New Roman" w:cs="Times New Roman"/>
          <w:b/>
          <w:bCs/>
          <w:sz w:val="22"/>
          <w:szCs w:val="22"/>
        </w:rPr>
      </w:pPr>
      <w:r w:rsidRPr="008927B0">
        <w:rPr>
          <w:rFonts w:ascii="Times New Roman" w:hAnsi="Times New Roman" w:cs="Times New Roman"/>
          <w:b/>
          <w:bCs/>
          <w:sz w:val="22"/>
          <w:szCs w:val="22"/>
        </w:rPr>
        <w:t>İŞ DÜNYASINDA HUKUK SERİSİ #11 – ŞİRKET İÇİ UYUŞMAZLIKLAR TİCARİ FAALİYETLERİ NASIL ETKİLER?</w:t>
      </w:r>
    </w:p>
    <w:p w14:paraId="6B1AF54B" w14:textId="77777777" w:rsidR="005C3A4F" w:rsidRPr="008927B0" w:rsidRDefault="005C3A4F" w:rsidP="005C3A4F">
      <w:pPr>
        <w:spacing w:after="0"/>
        <w:jc w:val="both"/>
        <w:rPr>
          <w:rFonts w:ascii="Times New Roman" w:hAnsi="Times New Roman" w:cs="Times New Roman"/>
          <w:b/>
          <w:bCs/>
          <w:sz w:val="22"/>
          <w:szCs w:val="22"/>
        </w:rPr>
      </w:pPr>
    </w:p>
    <w:p w14:paraId="4CA0EA46"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 xml:space="preserve">Şirket içi uyuşmazlık, ortaya çıktığı anda şirketin hukuki sınırlarıyla sınırlı kalmamaktadır. Aynı anda ticari faaliyetin ritmini, karar alma hızını ve risk taşıma kapasitesini etkilemektedir. Şirketin dışarıya sunduğu düzenli yapı korunuyor gibi görünse bile içeride belirsizlik alanları genişlemektedir. Bu belirsizlik, yönetimden operasyona, finanstan insan kaynağına uzanan bir zincirleme etki yaratmaktadır. </w:t>
      </w:r>
    </w:p>
    <w:p w14:paraId="54486974" w14:textId="77777777" w:rsidR="00D47179" w:rsidRPr="008927B0" w:rsidRDefault="00D47179" w:rsidP="00D47179">
      <w:pPr>
        <w:spacing w:before="240" w:after="240"/>
        <w:jc w:val="both"/>
        <w:rPr>
          <w:rFonts w:ascii="Times New Roman" w:eastAsiaTheme="minorEastAsia" w:hAnsi="Times New Roman" w:cs="Times New Roman"/>
          <w:b/>
          <w:bCs/>
          <w:sz w:val="22"/>
          <w:szCs w:val="22"/>
        </w:rPr>
      </w:pPr>
      <w:r w:rsidRPr="008927B0">
        <w:rPr>
          <w:rFonts w:ascii="Times New Roman" w:eastAsiaTheme="minorEastAsia" w:hAnsi="Times New Roman" w:cs="Times New Roman"/>
          <w:b/>
          <w:bCs/>
          <w:sz w:val="22"/>
          <w:szCs w:val="22"/>
        </w:rPr>
        <w:t>Karar Alma Sürecinin Aşınması</w:t>
      </w:r>
    </w:p>
    <w:p w14:paraId="790261CD"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Uyuşmazlık ilerledikçe en belirgin etki, karar alma mekanizmasında ortaya çıkmaktadır. Yönetim kurulu toplantıları yapılmakta, gündemler oluşturulmakta; fakat bağlayıcı kararlar üretilememektedir. Yetki alanları tartışmalı hâle gelmekte, imza süreçleri uzamakta ve kritik başlıklar sürekli ertelenmektedir. Bu durum, şirketin ticari refleksini zayıflatmaktadır. Piyasa koşulları değişmekte; ancak şirket bu değişime zamanında yanıt verememektedir.</w:t>
      </w:r>
    </w:p>
    <w:p w14:paraId="6B6EED6E"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Karar üretilememesi, risk yönetimini de doğrudan etkilemektedir. Mevcut sözleşmelerin revizyonu, yeni yatırım fırsatlarının değerlendirilmesi ve finansal pozisyonun korunması gibi konular askıda kalmaktadır. Bu askıda kalma hâli, ticari kaybın ilk işaretlerini üretmektedir.</w:t>
      </w:r>
    </w:p>
    <w:p w14:paraId="19978DD3" w14:textId="77777777" w:rsidR="00D47179" w:rsidRPr="008927B0" w:rsidRDefault="00D47179" w:rsidP="00D47179">
      <w:pPr>
        <w:spacing w:before="240" w:after="240"/>
        <w:jc w:val="both"/>
        <w:rPr>
          <w:rFonts w:ascii="Times New Roman" w:eastAsiaTheme="minorEastAsia" w:hAnsi="Times New Roman" w:cs="Times New Roman"/>
          <w:b/>
          <w:bCs/>
          <w:sz w:val="22"/>
          <w:szCs w:val="22"/>
        </w:rPr>
      </w:pPr>
      <w:r w:rsidRPr="008927B0">
        <w:rPr>
          <w:rFonts w:ascii="Times New Roman" w:eastAsiaTheme="minorEastAsia" w:hAnsi="Times New Roman" w:cs="Times New Roman"/>
          <w:b/>
          <w:bCs/>
          <w:sz w:val="22"/>
          <w:szCs w:val="22"/>
        </w:rPr>
        <w:t>Günlük İşleyişte Yavaşlama</w:t>
      </w:r>
    </w:p>
    <w:p w14:paraId="66288AAD"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 xml:space="preserve">Karar alma sürecindeki bu zayıflama, kısa süre içinde operasyonel akışa yansımaktadır. Satın alma ve tedarik süreçleri ağırlaşmakta, sözleşme onayları gecikmekte, teslim planları </w:t>
      </w:r>
      <w:proofErr w:type="gramStart"/>
      <w:r w:rsidRPr="008927B0">
        <w:rPr>
          <w:rFonts w:ascii="Times New Roman" w:eastAsiaTheme="minorEastAsia" w:hAnsi="Times New Roman" w:cs="Times New Roman"/>
          <w:sz w:val="22"/>
          <w:szCs w:val="22"/>
        </w:rPr>
        <w:t>revize edilmektedir</w:t>
      </w:r>
      <w:proofErr w:type="gramEnd"/>
      <w:r w:rsidRPr="008927B0">
        <w:rPr>
          <w:rFonts w:ascii="Times New Roman" w:eastAsiaTheme="minorEastAsia" w:hAnsi="Times New Roman" w:cs="Times New Roman"/>
          <w:sz w:val="22"/>
          <w:szCs w:val="22"/>
        </w:rPr>
        <w:t>. Finansman görüşmeleri uzamakta, teminat süreçleri netlik kazanmamaktadır. İnsan kaynaklarına ilişkin terfi, ücret ve organizasyon kararları beklemeye alınmaktadır.</w:t>
      </w:r>
    </w:p>
    <w:p w14:paraId="3C5D0370"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Şirket faaliyet göstermektedir; ancak bu faaliyet, hız kaybı yaşamaktadır. Bu hız kaybı, maliyet artışı ve teslim gecikmesi olarak somutlaşmaktadır. Ticari ilişkilerde gerilim bu aşamada hissedilmeye başlamaktadır.</w:t>
      </w:r>
    </w:p>
    <w:p w14:paraId="5759AB70" w14:textId="77777777" w:rsidR="00D47179" w:rsidRPr="008927B0" w:rsidRDefault="00D47179" w:rsidP="00D47179">
      <w:pPr>
        <w:spacing w:before="240" w:after="240"/>
        <w:jc w:val="both"/>
        <w:rPr>
          <w:rFonts w:ascii="Times New Roman" w:eastAsiaTheme="minorEastAsia" w:hAnsi="Times New Roman" w:cs="Times New Roman"/>
          <w:b/>
          <w:bCs/>
          <w:sz w:val="22"/>
          <w:szCs w:val="22"/>
        </w:rPr>
      </w:pPr>
      <w:r w:rsidRPr="008927B0">
        <w:rPr>
          <w:rFonts w:ascii="Times New Roman" w:eastAsiaTheme="minorEastAsia" w:hAnsi="Times New Roman" w:cs="Times New Roman"/>
          <w:b/>
          <w:bCs/>
          <w:sz w:val="22"/>
          <w:szCs w:val="22"/>
        </w:rPr>
        <w:t>Dış İlişkilerde Güvenin Zayıflaması</w:t>
      </w:r>
    </w:p>
    <w:p w14:paraId="2612DA08"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İçeride oluşan belirsizlik, kısa süre içinde banka, yatırımcı ve iş ortakları nezdinde görünür hâle gelmektedir. Bankalar kredi değerlendirmelerinde daha temkinli davranmaktadır. Yatırımcılar belirsizlik algısıyla hareket etmektedir. Stratejik iş ortakları sözleşme görüşmelerinde daha korumacı bir tutum benimsemektedir. Tedarikçiler ödeme koşullarını sıkılaştırmaktadır.</w:t>
      </w:r>
    </w:p>
    <w:p w14:paraId="3C431F6D"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Bu süreçte şirketin pazarlık gücü azalmaktadır. Aynı ticari ilişki, daha ağır şartlar altında yürütülmektedir. Güven kaybı, ticari faaliyetin sürdürülebilirliğini zorlamaktadır.</w:t>
      </w:r>
    </w:p>
    <w:p w14:paraId="76196D1D" w14:textId="77777777" w:rsidR="00D47179" w:rsidRPr="008927B0" w:rsidRDefault="00D47179" w:rsidP="00D47179">
      <w:pPr>
        <w:spacing w:before="240" w:after="240"/>
        <w:jc w:val="both"/>
        <w:rPr>
          <w:rFonts w:ascii="Times New Roman" w:eastAsiaTheme="minorEastAsia" w:hAnsi="Times New Roman" w:cs="Times New Roman"/>
          <w:b/>
          <w:bCs/>
          <w:sz w:val="22"/>
          <w:szCs w:val="22"/>
        </w:rPr>
      </w:pPr>
      <w:r w:rsidRPr="008927B0">
        <w:rPr>
          <w:rFonts w:ascii="Times New Roman" w:eastAsiaTheme="minorEastAsia" w:hAnsi="Times New Roman" w:cs="Times New Roman"/>
          <w:b/>
          <w:bCs/>
          <w:sz w:val="22"/>
          <w:szCs w:val="22"/>
        </w:rPr>
        <w:t>Finansal Sonuçların Ortaya Çıkması</w:t>
      </w:r>
    </w:p>
    <w:p w14:paraId="487BED8B"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lastRenderedPageBreak/>
        <w:t>Operasyonel yavaşlama ve dış güven kaybı, finansal sonuçlar üretmektedir. Karar gecikmeleri gelir kaybına yol açmaktadır. Operasyonel aksaklıklar maliyetleri yükseltmektedir. Uyuşmazlığın yönetimi için ayrılan zaman ve kaynak, şirketin büyüme kapasitesini sınırlamaktadır. Hukuki danışmanlık ve ihtilaf yönetimi giderleri finansal tablo üzerinde baskı oluşturmaktadır.</w:t>
      </w:r>
    </w:p>
    <w:p w14:paraId="5554B8A6"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Bu baskı tek bir kalemde izlenmemektedir. Ancak nakit akışı zayıflamakta, bütçe dengesi bozulmakta ve büyüme planları ertelenmektedir. Uyuşmazlık, şirketin finansal dayanıklılığını sessiz biçimde aşındırmaktadır.</w:t>
      </w:r>
    </w:p>
    <w:p w14:paraId="2E3C9943" w14:textId="77777777" w:rsidR="00D47179" w:rsidRPr="008927B0" w:rsidRDefault="00D47179" w:rsidP="00D47179">
      <w:pPr>
        <w:spacing w:before="240" w:after="240"/>
        <w:jc w:val="both"/>
        <w:rPr>
          <w:rFonts w:ascii="Times New Roman" w:eastAsiaTheme="minorEastAsia" w:hAnsi="Times New Roman" w:cs="Times New Roman"/>
          <w:b/>
          <w:bCs/>
          <w:sz w:val="22"/>
          <w:szCs w:val="22"/>
        </w:rPr>
      </w:pPr>
      <w:r w:rsidRPr="008927B0">
        <w:rPr>
          <w:rFonts w:ascii="Times New Roman" w:eastAsiaTheme="minorEastAsia" w:hAnsi="Times New Roman" w:cs="Times New Roman"/>
          <w:b/>
          <w:bCs/>
          <w:sz w:val="22"/>
          <w:szCs w:val="22"/>
        </w:rPr>
        <w:t>Yönetim ve Ortak Sorumluluğu Boyutu</w:t>
      </w:r>
    </w:p>
    <w:p w14:paraId="65D07AD3"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Uyuşmazlık süreci uzadıkça sorumluluk tartışması genişlemektedir. Alınamayan kararlar, geciken işlemler ve kaçırılan ticari fırsatlar, yönetim organlarının sorumluluğunu gündeme taşımaktadır. Yönetimin pasif kalması, görev ihmali iddialarına zemin hazırlamaktadır. Yetki sınırlarının belirsizleşmesi, yetki aşımı tartışmalarını güçlendirmektedir.</w:t>
      </w:r>
    </w:p>
    <w:p w14:paraId="0A04E88B"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Bu noktada uyuşmazlık, şirket düzeyinde kalmamaktadır. Süreç, yöneticilerin kişisel sorumluluğunu da kapsayan bir alana taşınmaktadır. Şirket zarara uğradığında, bu zararın hangi kararsızlıktan veya hangi gecikmeden kaynaklandığı sorgulanmaktadır.</w:t>
      </w:r>
    </w:p>
    <w:p w14:paraId="7959C195" w14:textId="77777777" w:rsidR="00D47179" w:rsidRPr="008927B0" w:rsidRDefault="00D47179" w:rsidP="00D47179">
      <w:pPr>
        <w:spacing w:before="240" w:after="240"/>
        <w:jc w:val="both"/>
        <w:rPr>
          <w:rFonts w:ascii="Times New Roman" w:eastAsiaTheme="minorEastAsia" w:hAnsi="Times New Roman" w:cs="Times New Roman"/>
          <w:b/>
          <w:bCs/>
          <w:sz w:val="22"/>
          <w:szCs w:val="22"/>
        </w:rPr>
      </w:pPr>
      <w:r w:rsidRPr="008927B0">
        <w:rPr>
          <w:rFonts w:ascii="Times New Roman" w:eastAsiaTheme="minorEastAsia" w:hAnsi="Times New Roman" w:cs="Times New Roman"/>
          <w:b/>
          <w:bCs/>
          <w:sz w:val="22"/>
          <w:szCs w:val="22"/>
        </w:rPr>
        <w:t>Çalışan Yapısı ve Kurumsal Dayanıklılık</w:t>
      </w:r>
    </w:p>
    <w:p w14:paraId="03646DF7"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Şirket içindeki gerilim, çalışanlar tarafından doğrudan hissedilmektedir. Belirsizlik, motivasyonu zayıflatmaktadır. İç iletişim zarar görmekte, güven ilişkisi sarsılmaktadır. Nitelikli personelin ayrılması riski artmaktadır. Kurumsal hafıza zarar görmekte ve organizasyonel dayanıklılık azalmaktadır.</w:t>
      </w:r>
    </w:p>
    <w:p w14:paraId="3EDB4185"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Bu etki kısa vadede sınırlı görünmektedir; ancak uzun vadede rekabet gücünü doğrudan etkilemektedir. Şirket, insan kaynağı bakımından kırılgan bir yapıya sürüklenmektedir.</w:t>
      </w:r>
    </w:p>
    <w:p w14:paraId="7C6D6C45" w14:textId="77777777" w:rsidR="00D47179" w:rsidRPr="008927B0" w:rsidRDefault="00D47179" w:rsidP="00D47179">
      <w:pPr>
        <w:spacing w:before="240" w:after="240"/>
        <w:jc w:val="both"/>
        <w:rPr>
          <w:rFonts w:ascii="Times New Roman" w:eastAsiaTheme="minorEastAsia" w:hAnsi="Times New Roman" w:cs="Times New Roman"/>
          <w:b/>
          <w:bCs/>
          <w:sz w:val="22"/>
          <w:szCs w:val="22"/>
        </w:rPr>
      </w:pPr>
      <w:r w:rsidRPr="008927B0">
        <w:rPr>
          <w:rFonts w:ascii="Times New Roman" w:eastAsiaTheme="minorEastAsia" w:hAnsi="Times New Roman" w:cs="Times New Roman"/>
          <w:b/>
          <w:bCs/>
          <w:sz w:val="22"/>
          <w:szCs w:val="22"/>
        </w:rPr>
        <w:t>Hukuki Desteğin Zamanlaması</w:t>
      </w:r>
    </w:p>
    <w:p w14:paraId="0CDF94EC" w14:textId="77777777" w:rsidR="00D47179" w:rsidRPr="008927B0" w:rsidRDefault="00D47179" w:rsidP="00D47179">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Şirket içi uyuşmazlıkların ticari faaliyet üzerindeki etkisi ortaya çıktığında, sorun çoğu kez ileri bir aşamaya taşınmış olmaktadır. Bu aşamada alınan hukuki destek, zararın sonuçlarını yönetmeye odaklanmaktadır. Oysa hukuki destek, uyuşmazlık derinleşmeden devreye girdiğinde, karar alma kapasitesinin korunmasını, sorumluluk alanlarının netleştirilmesini ve ticari faaliyetin kesintiye uğramamasını sağlamaktadır. Zamanında yapılan hukuki değerlendirme, uyuşmazlığı büyüten belirsizlik alanlarını daraltmakta ve yönetim organlarının hareket kabiliyetini korumaktadır. Bu nedenle hukuki destek, uyuşmazlık ortaya çıktıktan sonra başvurulan bir çözüm yolu değil; ticari faaliyetin sürdürülebilirliğini güvence altına alan bir risk yönetimi aracına dönüşmektedir.</w:t>
      </w:r>
    </w:p>
    <w:p w14:paraId="5392EFB7" w14:textId="77777777" w:rsidR="005C3A4F" w:rsidRPr="008927B0" w:rsidRDefault="005C3A4F" w:rsidP="005C3A4F">
      <w:pPr>
        <w:spacing w:after="0"/>
        <w:jc w:val="both"/>
        <w:rPr>
          <w:rFonts w:ascii="Times New Roman" w:hAnsi="Times New Roman" w:cs="Times New Roman"/>
          <w:b/>
          <w:bCs/>
          <w:sz w:val="22"/>
          <w:szCs w:val="22"/>
        </w:rPr>
      </w:pPr>
    </w:p>
    <w:p w14:paraId="60506988" w14:textId="77777777" w:rsidR="005C3A4F" w:rsidRPr="008927B0" w:rsidRDefault="005C3A4F" w:rsidP="005C3A4F">
      <w:pPr>
        <w:spacing w:after="0"/>
        <w:jc w:val="both"/>
        <w:rPr>
          <w:rFonts w:ascii="Times New Roman" w:hAnsi="Times New Roman" w:cs="Times New Roman"/>
          <w:b/>
          <w:bCs/>
          <w:sz w:val="22"/>
          <w:szCs w:val="22"/>
        </w:rPr>
      </w:pPr>
    </w:p>
    <w:p w14:paraId="3C55173C" w14:textId="733FCB99" w:rsidR="005C3A4F" w:rsidRPr="008927B0" w:rsidRDefault="00666942" w:rsidP="00666942">
      <w:pPr>
        <w:spacing w:after="0"/>
        <w:jc w:val="right"/>
        <w:rPr>
          <w:rFonts w:ascii="Times New Roman" w:hAnsi="Times New Roman" w:cs="Times New Roman"/>
          <w:b/>
          <w:bCs/>
          <w:sz w:val="22"/>
          <w:szCs w:val="22"/>
        </w:rPr>
      </w:pPr>
      <w:r>
        <w:rPr>
          <w:rFonts w:ascii="Times New Roman" w:hAnsi="Times New Roman" w:cs="Times New Roman"/>
          <w:b/>
          <w:bCs/>
          <w:sz w:val="22"/>
          <w:szCs w:val="22"/>
        </w:rPr>
        <w:t>OCAK 2026</w:t>
      </w:r>
    </w:p>
    <w:p w14:paraId="108D29D1" w14:textId="77777777" w:rsidR="008A705A" w:rsidRPr="008927B0" w:rsidRDefault="008A705A" w:rsidP="008A705A">
      <w:pPr>
        <w:pStyle w:val="ListeParagraf"/>
        <w:numPr>
          <w:ilvl w:val="0"/>
          <w:numId w:val="2"/>
        </w:numPr>
        <w:spacing w:after="0"/>
        <w:ind w:left="0"/>
        <w:jc w:val="both"/>
        <w:rPr>
          <w:rFonts w:ascii="Times New Roman" w:hAnsi="Times New Roman" w:cs="Times New Roman"/>
          <w:b/>
          <w:bCs/>
          <w:sz w:val="22"/>
          <w:szCs w:val="22"/>
        </w:rPr>
      </w:pPr>
      <w:r w:rsidRPr="008927B0">
        <w:rPr>
          <w:rFonts w:ascii="Times New Roman" w:hAnsi="Times New Roman" w:cs="Times New Roman"/>
          <w:b/>
          <w:bCs/>
          <w:sz w:val="22"/>
          <w:szCs w:val="22"/>
        </w:rPr>
        <w:t xml:space="preserve">TİCARİ SÖZLEŞMELERİN HUKUKİ ANATOMİSİ </w:t>
      </w:r>
    </w:p>
    <w:p w14:paraId="64C45321" w14:textId="77777777" w:rsidR="00FE03F0" w:rsidRPr="008927B0" w:rsidRDefault="00FE03F0" w:rsidP="00FE03F0">
      <w:pPr>
        <w:spacing w:after="0"/>
        <w:jc w:val="both"/>
        <w:rPr>
          <w:rFonts w:ascii="Times New Roman" w:hAnsi="Times New Roman" w:cs="Times New Roman"/>
          <w:b/>
          <w:bCs/>
          <w:sz w:val="22"/>
          <w:szCs w:val="22"/>
        </w:rPr>
      </w:pPr>
    </w:p>
    <w:p w14:paraId="0326F26B"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Ticari ilişkiler, çoğu zaman taraflar arasında tesis edilen karşılıklı güvene dayanmaktadır.</w:t>
      </w:r>
      <w:r w:rsidRPr="008927B0">
        <w:rPr>
          <w:rFonts w:ascii="Times New Roman" w:eastAsia="Calibri" w:hAnsi="Times New Roman" w:cs="Times New Roman"/>
          <w:sz w:val="22"/>
          <w:szCs w:val="22"/>
        </w:rPr>
        <w:br/>
        <w:t>Bununla birlikte, söz konusu güvenin sözleşme metinleriyle güvence altına alınmadığı durumlarda, kalıcı ve öngörülebilir bir hukuki zeminden söz etmek mümkün olmamaktadır.</w:t>
      </w:r>
    </w:p>
    <w:p w14:paraId="082E9617"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lastRenderedPageBreak/>
        <w:t>Ticari sözleşmeler; tarafların hak ve yükümlülüklerini belirleyen, risk dağılımını düzenleyen ve uyuşmazlık hâllerinde uygulanacak usul ve esasları ortaya koyan temel hukuki metinler niteliğindedir. Bu çerçevede, ticari sözleşmelerin hazırlanması ve değerlendirilmesi süreçlerinin, bütüncül bir hukuki bakış açısıyla ele alınması gerekmektedir.</w:t>
      </w:r>
    </w:p>
    <w:p w14:paraId="7E40B211" w14:textId="77777777" w:rsidR="00FE03F0" w:rsidRPr="008927B0" w:rsidRDefault="00FE03F0" w:rsidP="00FE03F0">
      <w:pPr>
        <w:jc w:val="both"/>
        <w:rPr>
          <w:rFonts w:ascii="Times New Roman" w:eastAsia="Calibri" w:hAnsi="Times New Roman" w:cs="Times New Roman"/>
          <w:b/>
          <w:bCs/>
          <w:sz w:val="22"/>
          <w:szCs w:val="22"/>
        </w:rPr>
      </w:pPr>
    </w:p>
    <w:p w14:paraId="12FC327A" w14:textId="77777777" w:rsidR="00FE03F0" w:rsidRPr="008927B0" w:rsidRDefault="00FE03F0" w:rsidP="00FE03F0">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1. Sözleşmenin Hukuki Niteliğinin Belirlenmesi</w:t>
      </w:r>
    </w:p>
    <w:p w14:paraId="702923B2"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Bir ticari sözleşmenin hukuki anatomisi, öncelikle sözleşmenin hukuki niteliğinin doğru biçimde tespit edilmesini gerektirmektedir. Sözleşmenin satım, hizmet, eser ya da karma bir yapı taşıyıp taşımadığı; başlığından ziyade tarafların üstlendiği edimlerin içeriği dikkate alınarak değerlendirilmektedir.</w:t>
      </w:r>
    </w:p>
    <w:p w14:paraId="754B5866"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Uygulamada, “hizmet sözleşmesi” başlığı altında düzenlenen bazı sözleşmelerin, tarafların edimleri ve sözleşmenin amacı dikkate alındığında fiilen eser sözleşmesine özgü sonuçlar doğurduğu örneklere sıklıkla rastlanmaktadır. Bu tür hatalı nitelendirmeler, uyuşmazlık hâlinde uygulanacak mevzuat hükümlerinin değişmesine, tarafların hukuki konumlarının yanlış belirlenmesine ve sözleşmeden beklenen menfaatlerin karşılıksız kalmasına yol açabilmektedir.</w:t>
      </w:r>
    </w:p>
    <w:p w14:paraId="668B4141" w14:textId="77777777" w:rsidR="00FE03F0" w:rsidRPr="008927B0" w:rsidRDefault="00FE03F0" w:rsidP="00FE03F0">
      <w:pPr>
        <w:jc w:val="both"/>
        <w:rPr>
          <w:rFonts w:ascii="Times New Roman" w:eastAsia="Calibri" w:hAnsi="Times New Roman" w:cs="Times New Roman"/>
          <w:b/>
          <w:bCs/>
          <w:sz w:val="22"/>
          <w:szCs w:val="22"/>
        </w:rPr>
      </w:pPr>
    </w:p>
    <w:p w14:paraId="075352BA" w14:textId="77777777" w:rsidR="00FE03F0" w:rsidRPr="008927B0" w:rsidRDefault="00FE03F0" w:rsidP="00FE03F0">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2. Taraf Yapısı ve Temsil İlişkileri</w:t>
      </w:r>
    </w:p>
    <w:p w14:paraId="22996391"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Sözleşmenin taraflarının kimliklerinin ve taraflar arasındaki temsil ilişkilerinin açık, tereddüde yer vermeyecek şekilde düzenlenmesi, hukuki güvenliğin sağlanması bakımından kritik önem taşımaktadır.</w:t>
      </w:r>
    </w:p>
    <w:p w14:paraId="718D7BC7"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Özellikle grup şirketleri arasında tesis edilen ticari ilişkilerde, hangi tüzel kişinin hangi sıfatla sözleşmeye taraf olduğu ile sözleşmeyi imzalayan kişinin temsil yetkisinin dayanağı açık biçimde ortaya konulmadığı takdirde, sorumluluğun hangi tüzel kişiye ait olduğu hususu belirsiz hâle gelebilmektedir.</w:t>
      </w:r>
    </w:p>
    <w:p w14:paraId="5BD273C8"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Uygulamada, temsil yetkisi bulunmayan kişilerce atılan imzalar nedeniyle sözleşmenin geçerliliği ve bağlayıcılığının tartışma konusu hâline geldiği uyuşmazlıklara sıklıkla rastlanmaktadır.</w:t>
      </w:r>
    </w:p>
    <w:p w14:paraId="33B0AE7A" w14:textId="77777777" w:rsidR="00FE03F0" w:rsidRPr="008927B0" w:rsidRDefault="00FE03F0" w:rsidP="00FE03F0">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3. Edimler ve Yükümlülüklerin Somutlaştırılması</w:t>
      </w:r>
    </w:p>
    <w:p w14:paraId="1C224A9A"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Edim ve yükümlülüklere ilişkin düzenlemeler, sözleşmenin uygulanabilirliğini doğrudan etkilemektedir. Hangi edimin hangi süre içerisinde ve hangi standartlar çerçevesinde yerine getirileceğinin açık biçimde ortaya konulmaması, sözleşmenin yorum yoluyla doldurulmasına neden olmaktadır.</w:t>
      </w:r>
    </w:p>
    <w:p w14:paraId="6A94A5F9"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Özellikle “makul süre” veya “ticari teamüllere uygunluk” gibi soyut ifadelerin somut kriterlerle desteklenmediği sözleşmelerde, ihlalin varlığı ve kapsamına ilişkin değerlendirme büyük ölçüde yargısal takdire bırakılmaktadır. Bu durum, sözleşmenin taraflar açısından öngörülebilirliğini zayıflatmakta ve uyuşmazlık riskini artırmaktadır.</w:t>
      </w:r>
    </w:p>
    <w:p w14:paraId="63B02BDA" w14:textId="77777777" w:rsidR="00FE03F0" w:rsidRPr="008927B0" w:rsidRDefault="00FE03F0" w:rsidP="00FE03F0">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4. Risk Dağılımı ve Sorumluluk Rejimi</w:t>
      </w:r>
    </w:p>
    <w:p w14:paraId="788F47B2"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Ticari sözleşmelerde risk dağılımı ve sorumluluk rejimi, taraflar arasındaki ekonomik dengeyi doğrudan etkilemektedir. Tazminat sınırları, dolaylı zararlar, mücbir sebep düzenlemeleri ve uyarlama hükümleri; tarafların hangi riskleri hangi ölçüde üstlendiğini ortaya koymaktadır.</w:t>
      </w:r>
    </w:p>
    <w:p w14:paraId="2BBE8162"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Özellikle yüksek hacimli veya uzun süreli ticari işlemlerde, bu hükümlerin yeterli özen gösterilmeksizin kurgulanması hâlinde, sözleşme ilişkisinin taraflardan biri bakımından ekonomik ve hukuki anlamını yitirmesi riski ortaya çıkabilmektedir.</w:t>
      </w:r>
    </w:p>
    <w:p w14:paraId="4676610C" w14:textId="77777777" w:rsidR="00FE03F0" w:rsidRPr="008927B0" w:rsidRDefault="00FE03F0" w:rsidP="00FE03F0">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5. Uyuşmazlık Çözümü ve Yürürlük Dinamikleri</w:t>
      </w:r>
    </w:p>
    <w:p w14:paraId="4675D809"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lastRenderedPageBreak/>
        <w:t>Uyuşmazlık çözüm yollarına ve sözleşmenin yürürlük dinamiklerine ilişkin hükümler, sözleşme metninin tamamlayıcı unsurları arasında yer almaktadır.</w:t>
      </w:r>
    </w:p>
    <w:p w14:paraId="31EDA078"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Yetkili mahkeme veya tahkim düzenlemeleri, uygulanacak hukuk ve bildirim usulleri; uyuşmazlık hâlinde sürecin hangi hukuki zeminde ilerleyeceğini belirlemektedir.</w:t>
      </w:r>
    </w:p>
    <w:p w14:paraId="0431F536" w14:textId="77777777" w:rsidR="00FE03F0" w:rsidRPr="008927B0" w:rsidRDefault="00FE03F0" w:rsidP="00FE03F0">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Uygulamada, bu tür hükümlerin standart ve genel ifadelerle geçiştirilmesi, uyuşmazlık çözüm sürecinin uzamasına, belirsizliklerin artmasına ve taraflar bakımından ilave zaman ve maliyet yükü doğmasına yol açabilmektedir.</w:t>
      </w:r>
    </w:p>
    <w:p w14:paraId="0B98D563" w14:textId="77777777" w:rsidR="00FE03F0" w:rsidRPr="008927B0" w:rsidRDefault="00FE03F0" w:rsidP="00FE03F0">
      <w:pPr>
        <w:jc w:val="both"/>
        <w:rPr>
          <w:rFonts w:ascii="Times New Roman" w:eastAsia="Calibri" w:hAnsi="Times New Roman" w:cs="Times New Roman"/>
          <w:b/>
          <w:bCs/>
          <w:sz w:val="22"/>
          <w:szCs w:val="22"/>
        </w:rPr>
      </w:pPr>
    </w:p>
    <w:p w14:paraId="013EF65C" w14:textId="77777777" w:rsidR="00FE03F0" w:rsidRPr="008927B0" w:rsidRDefault="00FE03F0" w:rsidP="00FE03F0">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Sonuç</w:t>
      </w:r>
    </w:p>
    <w:p w14:paraId="677DCE28" w14:textId="77777777" w:rsidR="00FE03F0" w:rsidRPr="008927B0" w:rsidRDefault="00FE03F0" w:rsidP="00FE03F0">
      <w:pPr>
        <w:rPr>
          <w:rFonts w:ascii="Times New Roman" w:eastAsia="Calibri" w:hAnsi="Times New Roman" w:cs="Times New Roman"/>
          <w:sz w:val="22"/>
          <w:szCs w:val="22"/>
        </w:rPr>
      </w:pPr>
      <w:r w:rsidRPr="008927B0">
        <w:rPr>
          <w:rFonts w:ascii="Times New Roman" w:eastAsia="Calibri" w:hAnsi="Times New Roman" w:cs="Times New Roman"/>
          <w:sz w:val="22"/>
          <w:szCs w:val="22"/>
        </w:rPr>
        <w:t>Ticari sözleşmeler, ticari ilişkilerin hukuki mimarisini oluşturan temel metinler niteliğindedir. Bu sözleşmelerin hazırlanması sürecinde, her bir hükmün doğurabileceği hukuki ve ekonomik sonuçların öngörülmesi ve sözleşmenin bütünsel yapısının tutarlı bir şekilde kurgulanması büyük önem taşımaktadır.</w:t>
      </w:r>
    </w:p>
    <w:p w14:paraId="605AD136" w14:textId="77777777" w:rsidR="00FE03F0" w:rsidRPr="008927B0" w:rsidRDefault="00FE03F0" w:rsidP="00FE03F0">
      <w:pPr>
        <w:rPr>
          <w:rFonts w:ascii="Times New Roman" w:eastAsia="Calibri" w:hAnsi="Times New Roman" w:cs="Times New Roman"/>
          <w:sz w:val="22"/>
          <w:szCs w:val="22"/>
        </w:rPr>
      </w:pPr>
      <w:r w:rsidRPr="008927B0">
        <w:rPr>
          <w:rFonts w:ascii="Times New Roman" w:eastAsia="Calibri" w:hAnsi="Times New Roman" w:cs="Times New Roman"/>
          <w:sz w:val="22"/>
          <w:szCs w:val="22"/>
        </w:rPr>
        <w:t>Sistematik ve öngörülebilir biçimde düzenlenmiş bir sözleşme, uyuşmazlıkların ortaya çıkmasından sonra çözüm üretmekten ziyade, uyuşmazlıkları en baştan önleyici bir işlev görmekte; bu yönüyle ticari ilişkilerin güvenli, istikrarlı ve sürdürülebilir biçimde yürütülmesine katkı sağlamaktadır.</w:t>
      </w:r>
    </w:p>
    <w:p w14:paraId="43192B04" w14:textId="77777777" w:rsidR="00FE03F0" w:rsidRPr="008927B0" w:rsidRDefault="00FE03F0" w:rsidP="00FE03F0">
      <w:pPr>
        <w:spacing w:after="0"/>
        <w:jc w:val="both"/>
        <w:rPr>
          <w:rFonts w:ascii="Times New Roman" w:hAnsi="Times New Roman" w:cs="Times New Roman"/>
          <w:b/>
          <w:bCs/>
          <w:sz w:val="22"/>
          <w:szCs w:val="22"/>
        </w:rPr>
      </w:pPr>
    </w:p>
    <w:p w14:paraId="10FCB018" w14:textId="77777777" w:rsidR="002668AC" w:rsidRPr="008927B0" w:rsidRDefault="002668AC" w:rsidP="00FE03F0">
      <w:pPr>
        <w:spacing w:after="0"/>
        <w:jc w:val="both"/>
        <w:rPr>
          <w:rFonts w:ascii="Times New Roman" w:hAnsi="Times New Roman" w:cs="Times New Roman"/>
          <w:b/>
          <w:bCs/>
          <w:sz w:val="22"/>
          <w:szCs w:val="22"/>
        </w:rPr>
      </w:pPr>
    </w:p>
    <w:p w14:paraId="49321A87" w14:textId="77777777" w:rsidR="00FE03F0" w:rsidRPr="008927B0" w:rsidRDefault="00FE03F0" w:rsidP="00666942">
      <w:pPr>
        <w:spacing w:after="0"/>
        <w:jc w:val="right"/>
        <w:rPr>
          <w:rFonts w:ascii="Times New Roman" w:hAnsi="Times New Roman" w:cs="Times New Roman"/>
          <w:b/>
          <w:bCs/>
          <w:sz w:val="22"/>
          <w:szCs w:val="22"/>
        </w:rPr>
      </w:pPr>
    </w:p>
    <w:p w14:paraId="1289FCFD" w14:textId="77777777" w:rsidR="008A705A" w:rsidRPr="008927B0" w:rsidRDefault="008A705A" w:rsidP="008A705A">
      <w:pPr>
        <w:pStyle w:val="ListeParagraf"/>
        <w:numPr>
          <w:ilvl w:val="0"/>
          <w:numId w:val="2"/>
        </w:numPr>
        <w:spacing w:after="0"/>
        <w:ind w:left="0"/>
        <w:jc w:val="both"/>
        <w:rPr>
          <w:rFonts w:ascii="Times New Roman" w:hAnsi="Times New Roman" w:cs="Times New Roman"/>
          <w:b/>
          <w:bCs/>
          <w:sz w:val="22"/>
          <w:szCs w:val="22"/>
        </w:rPr>
      </w:pPr>
      <w:r w:rsidRPr="008927B0">
        <w:rPr>
          <w:rFonts w:ascii="Times New Roman" w:hAnsi="Times New Roman" w:cs="Times New Roman"/>
          <w:b/>
          <w:bCs/>
          <w:sz w:val="22"/>
          <w:szCs w:val="22"/>
        </w:rPr>
        <w:t xml:space="preserve">ŞİRKET UYUŞMAZLIKLARINDA TAHKİM SEÇENEĞİ </w:t>
      </w:r>
    </w:p>
    <w:p w14:paraId="3986E7FC" w14:textId="77777777" w:rsidR="002668AC" w:rsidRPr="008927B0" w:rsidRDefault="002668AC" w:rsidP="002668AC">
      <w:pPr>
        <w:spacing w:after="0"/>
        <w:jc w:val="both"/>
        <w:rPr>
          <w:rFonts w:ascii="Times New Roman" w:hAnsi="Times New Roman" w:cs="Times New Roman"/>
          <w:b/>
          <w:bCs/>
          <w:sz w:val="22"/>
          <w:szCs w:val="22"/>
        </w:rPr>
      </w:pPr>
    </w:p>
    <w:p w14:paraId="35E7093D" w14:textId="77777777" w:rsidR="002668AC" w:rsidRPr="008927B0" w:rsidRDefault="002668AC" w:rsidP="002668AC">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Tahkim Nedir?</w:t>
      </w:r>
    </w:p>
    <w:p w14:paraId="7B5A43BF"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Ticari uyuşmazlıkların çözümünde hızlı, uzmanlaşmış ve tarafsız bir yoldur. Tarafların özgür iradeleriyle seçtikleri hakem veya hakem heyeti önünde uyuşmazlığın çözülmesini ifade eder.</w:t>
      </w:r>
    </w:p>
    <w:p w14:paraId="50E5E761" w14:textId="77777777" w:rsidR="002668AC" w:rsidRPr="008927B0" w:rsidRDefault="002668AC" w:rsidP="002668AC">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Hukuki Dayanak</w:t>
      </w:r>
    </w:p>
    <w:p w14:paraId="1EEA4AC8"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Türk hukukunda tahkim, yabancılık unsuru içermeyen uyuşmazlıklar için 6100 sayılı Hukuk Muhakemeleri Kanunu’nun 407–444. maddeleriyle, yabancılık unsuru içeren uyuşmazlıklar için ise 4686 sayılı Milletlerarası Tahkim Kanunu ile düzenlenmiştir.</w:t>
      </w:r>
    </w:p>
    <w:p w14:paraId="1D43ACA1" w14:textId="77777777" w:rsidR="002668AC" w:rsidRPr="008927B0" w:rsidRDefault="002668AC" w:rsidP="002668AC">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Yabancılık Unsuru</w:t>
      </w:r>
    </w:p>
    <w:p w14:paraId="48426B63"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4686 sayılı Milletlerarası Tahkim Kanunu’nun 2. maddesi, taraflardan birinin yabancı olması, uyuşmazlığın yabancı bir ülkede doğması veya yatırım sözleşmelerinden kaynaklanması gibi durumlarda uyuşmazlığın milletlerarası nitelik taşıdığını açıkça ortaya koyar.</w:t>
      </w:r>
    </w:p>
    <w:p w14:paraId="371E9912"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Yabancılık unsuru taşımayan tahkim yerinin Türkiye olarak belirlendiği haller bakımından tahkim hükmü ise, HMK m. 412’de tarafların mevcut veya doğabilecek uyuşmazlıklarını tahkim yoluyla çözmeyi kararlaştırmaları olarak tanımlanır ve geçerliliği yazılı şekle bağlanmıştır.</w:t>
      </w:r>
    </w:p>
    <w:p w14:paraId="2BE314CB" w14:textId="77777777" w:rsidR="002668AC" w:rsidRPr="008927B0" w:rsidRDefault="002668AC" w:rsidP="002668AC">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Tahkim Sürecinin Başlangıcı</w:t>
      </w:r>
    </w:p>
    <w:p w14:paraId="41A16DA3"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Tahkim süreci, tarafların tahkim anlaşması ile başlar. Yazılı şekilde yapılması zorunlu olan bu anlaşma, uyuşmazlığın hangi hakem veya hakem heyeti önünde çözüleceğini belirler.</w:t>
      </w:r>
    </w:p>
    <w:p w14:paraId="68F7E167"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Taraflar hakem sayısını, seçilecek kişilerin niteliklerini ve yargılamanın temel usulünü kararlaştırabilir.</w:t>
      </w:r>
    </w:p>
    <w:p w14:paraId="088F086F" w14:textId="77777777" w:rsidR="002668AC" w:rsidRPr="008927B0" w:rsidRDefault="002668AC" w:rsidP="002668AC">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lastRenderedPageBreak/>
        <w:t>Yargılama Süreci</w:t>
      </w:r>
    </w:p>
    <w:p w14:paraId="72433FE5"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Yargılama sırasında tarafların eşitliği ve hukuki dinlenilme hakkı korunur.</w:t>
      </w:r>
    </w:p>
    <w:p w14:paraId="18F72F87"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Delillerin sunulması, tanıkların dinlenmesi, bilirkişi raporları veya keşif yapılması hakemlerin yönetiminde yürütülür.</w:t>
      </w:r>
    </w:p>
    <w:p w14:paraId="5DE700EB"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Taraflardan biri sürece katılmasa bile, hakem heyeti mevcut deliller üzerinden yargılamayı devam ettirebilir.</w:t>
      </w:r>
    </w:p>
    <w:p w14:paraId="021B1E07" w14:textId="77777777" w:rsidR="002668AC" w:rsidRPr="008927B0" w:rsidRDefault="002668AC" w:rsidP="002668AC">
      <w:pPr>
        <w:jc w:val="both"/>
        <w:rPr>
          <w:rFonts w:ascii="Times New Roman" w:eastAsia="Calibri" w:hAnsi="Times New Roman" w:cs="Times New Roman"/>
          <w:b/>
          <w:bCs/>
          <w:sz w:val="22"/>
          <w:szCs w:val="22"/>
        </w:rPr>
      </w:pPr>
      <w:r w:rsidRPr="008927B0">
        <w:rPr>
          <w:rFonts w:ascii="Times New Roman" w:eastAsia="Calibri" w:hAnsi="Times New Roman" w:cs="Times New Roman"/>
          <w:b/>
          <w:bCs/>
          <w:sz w:val="22"/>
          <w:szCs w:val="22"/>
        </w:rPr>
        <w:t>Hakem Kararı</w:t>
      </w:r>
    </w:p>
    <w:p w14:paraId="655BA02C"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Hakem kararı gerekçeli şekilde yazılır ve taraflara tebliğ edilir. Bu karar ilam niteliğindedir. Hakem kararlarına karşı yalnızca HMK’da sayılı sebepler çerçevesinde iptal davası açılabilir.</w:t>
      </w:r>
    </w:p>
    <w:p w14:paraId="071CA995"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Tarafların üzerinde anlaştıkları sulh de hakem kararı şeklinde tespit edilerek icra kabiliyeti kazanır.</w:t>
      </w:r>
    </w:p>
    <w:p w14:paraId="71A26B54"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Tahkim, ticari uyuşmazlıkların çözümünde esnekliği, uzmanlık imkanını ve hız avantajını bir araya getirerek taraflara güvenilir bir alternatif sunar.</w:t>
      </w:r>
    </w:p>
    <w:p w14:paraId="7EFC6A2D" w14:textId="77777777" w:rsidR="002668AC" w:rsidRPr="008927B0" w:rsidRDefault="002668AC" w:rsidP="002668AC">
      <w:pPr>
        <w:jc w:val="both"/>
        <w:rPr>
          <w:rFonts w:ascii="Times New Roman" w:eastAsia="Calibri" w:hAnsi="Times New Roman" w:cs="Times New Roman"/>
          <w:sz w:val="22"/>
          <w:szCs w:val="22"/>
        </w:rPr>
      </w:pPr>
      <w:r w:rsidRPr="008927B0">
        <w:rPr>
          <w:rFonts w:ascii="Times New Roman" w:eastAsia="Calibri" w:hAnsi="Times New Roman" w:cs="Times New Roman"/>
          <w:sz w:val="22"/>
          <w:szCs w:val="22"/>
        </w:rPr>
        <w:t xml:space="preserve">Devlet yargısına göre daha kısa sürede sonuç alınabilmesi, tahkim kararlarının kesinliği ve milletlerarası boyutta </w:t>
      </w:r>
      <w:proofErr w:type="spellStart"/>
      <w:r w:rsidRPr="008927B0">
        <w:rPr>
          <w:rFonts w:ascii="Times New Roman" w:eastAsia="Calibri" w:hAnsi="Times New Roman" w:cs="Times New Roman"/>
          <w:sz w:val="22"/>
          <w:szCs w:val="22"/>
        </w:rPr>
        <w:t>tanınabilirliği</w:t>
      </w:r>
      <w:proofErr w:type="spellEnd"/>
      <w:r w:rsidRPr="008927B0">
        <w:rPr>
          <w:rFonts w:ascii="Times New Roman" w:eastAsia="Calibri" w:hAnsi="Times New Roman" w:cs="Times New Roman"/>
          <w:sz w:val="22"/>
          <w:szCs w:val="22"/>
        </w:rPr>
        <w:t>, bu yöntemi yatırımcılar açısından cazip hale getirir.</w:t>
      </w:r>
    </w:p>
    <w:p w14:paraId="0DD51067" w14:textId="77777777" w:rsidR="002668AC" w:rsidRPr="008927B0" w:rsidRDefault="002668AC" w:rsidP="002668AC">
      <w:pPr>
        <w:spacing w:after="0"/>
        <w:jc w:val="both"/>
        <w:rPr>
          <w:rFonts w:ascii="Times New Roman" w:hAnsi="Times New Roman" w:cs="Times New Roman"/>
          <w:b/>
          <w:bCs/>
          <w:sz w:val="22"/>
          <w:szCs w:val="22"/>
        </w:rPr>
      </w:pPr>
    </w:p>
    <w:p w14:paraId="3AF1A856" w14:textId="77777777" w:rsidR="002668AC" w:rsidRPr="008927B0" w:rsidRDefault="002668AC" w:rsidP="002668AC">
      <w:pPr>
        <w:spacing w:after="0"/>
        <w:jc w:val="both"/>
        <w:rPr>
          <w:rFonts w:ascii="Times New Roman" w:hAnsi="Times New Roman" w:cs="Times New Roman"/>
          <w:b/>
          <w:bCs/>
          <w:sz w:val="22"/>
          <w:szCs w:val="22"/>
        </w:rPr>
      </w:pPr>
    </w:p>
    <w:p w14:paraId="4F8CD92B" w14:textId="0DDFCFFB" w:rsidR="002668AC" w:rsidRPr="008927B0" w:rsidRDefault="00666942" w:rsidP="00666942">
      <w:pPr>
        <w:spacing w:after="0"/>
        <w:jc w:val="right"/>
        <w:rPr>
          <w:rFonts w:ascii="Times New Roman" w:hAnsi="Times New Roman" w:cs="Times New Roman"/>
          <w:b/>
          <w:bCs/>
          <w:sz w:val="22"/>
          <w:szCs w:val="22"/>
        </w:rPr>
      </w:pPr>
      <w:r>
        <w:rPr>
          <w:rFonts w:ascii="Times New Roman" w:hAnsi="Times New Roman" w:cs="Times New Roman"/>
          <w:b/>
          <w:bCs/>
          <w:sz w:val="22"/>
          <w:szCs w:val="22"/>
        </w:rPr>
        <w:t>OCAK 2026</w:t>
      </w:r>
    </w:p>
    <w:p w14:paraId="52BB2304" w14:textId="77777777" w:rsidR="008A705A" w:rsidRPr="008927B0" w:rsidRDefault="008A705A" w:rsidP="008A705A">
      <w:pPr>
        <w:pStyle w:val="ListeParagraf"/>
        <w:numPr>
          <w:ilvl w:val="0"/>
          <w:numId w:val="2"/>
        </w:numPr>
        <w:spacing w:after="0"/>
        <w:ind w:left="0"/>
        <w:jc w:val="both"/>
        <w:rPr>
          <w:rFonts w:ascii="Times New Roman" w:hAnsi="Times New Roman" w:cs="Times New Roman"/>
          <w:b/>
          <w:bCs/>
          <w:sz w:val="22"/>
          <w:szCs w:val="22"/>
        </w:rPr>
      </w:pPr>
      <w:r w:rsidRPr="008927B0">
        <w:rPr>
          <w:rFonts w:ascii="Times New Roman" w:hAnsi="Times New Roman" w:cs="Times New Roman"/>
          <w:b/>
          <w:bCs/>
          <w:sz w:val="22"/>
          <w:szCs w:val="22"/>
        </w:rPr>
        <w:t>TİCARİ BİR UYUŞMAZLIK NASIL BAŞLAR, NASIL BÜYÜR?</w:t>
      </w:r>
    </w:p>
    <w:p w14:paraId="198ADE8F" w14:textId="77777777" w:rsidR="00627B8B" w:rsidRPr="008927B0" w:rsidRDefault="00627B8B" w:rsidP="00627B8B">
      <w:pPr>
        <w:spacing w:after="0"/>
        <w:jc w:val="both"/>
        <w:rPr>
          <w:rFonts w:ascii="Times New Roman" w:hAnsi="Times New Roman" w:cs="Times New Roman"/>
          <w:b/>
          <w:bCs/>
          <w:sz w:val="22"/>
          <w:szCs w:val="22"/>
        </w:rPr>
      </w:pPr>
    </w:p>
    <w:p w14:paraId="277F14C5" w14:textId="77777777" w:rsidR="00627B8B" w:rsidRPr="008927B0" w:rsidRDefault="00627B8B" w:rsidP="00627B8B">
      <w:pPr>
        <w:jc w:val="both"/>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I. Giriş</w:t>
      </w:r>
    </w:p>
    <w:p w14:paraId="514C8ECD"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Ticari ilişkiler, taraflar arasında kurulan sözleşmesel yapı çerçevesinde yürütülmekte olup bu ilişkiler çoğu zaman uzun süreye yayılan, çok sayıda işlem içeren ve farklı koşullara uyum gerektiren bir nitelik taşımaktadır. Bu ilişkilerde ortaya çıkan uyuşmazlıklar, kimi durumlarda tek bir işlem veya ani bir ihlal neticesinde ortaya çıkabilmekte, kimi durumlarda ise belirli aşamalar boyunca birikerek ve zaman içerisinde derinleşerek şekillenmektedir. Ticari uyuşmazlıkların hangi şartlar altında ani biçimde ortaya çıktığının veya hangi süreçler sonucunda kademeli şekilde büyüdüğünün doğru biçimde analiz edilmesi, hukuki risklerin yönetilmesi ve ticari kayıpların sınırlandırılması bakımından önem taşımaktadır.</w:t>
      </w:r>
    </w:p>
    <w:p w14:paraId="010F2206" w14:textId="77777777" w:rsidR="00627B8B" w:rsidRPr="008927B0" w:rsidRDefault="00627B8B" w:rsidP="00627B8B">
      <w:pPr>
        <w:jc w:val="both"/>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II. Belirsizlik Aşaması</w:t>
      </w:r>
    </w:p>
    <w:p w14:paraId="3C98E199"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Ticari uyuşmazlıkların başlangıç noktasında çoğu zaman sözleşme hükümlerinde yer alan belirsizlikler etkili olmaktadır. Taraflar arasında imzalanan sözleşmelerde hak ve yükümlülüklerin açık, net ve tereddüde yer vermeyecek biçimde düzenlenmemesi, ilerleyen süreçte tarafların aynı sözleşmesel ilişkiyi farklı şekillerde algılamasına neden olmaktadır. Özellikle uygulamaya bırakılan hususların kapsamının geniş tutulması, sözleşme hükümlerinin yorumlanmasını zorlaştırmakta ve taraflar arasında beklenti farklılıklarının oluşmasına zemin hazırlamaktadır. Bu aşamada açık bir ihtilaf bulunmamakta, ancak ilerleyen süreçte uyuşmazlığa dönüşecek hukuki altyapı oluşmaktadır.</w:t>
      </w:r>
    </w:p>
    <w:p w14:paraId="501384DF" w14:textId="77777777" w:rsidR="00627B8B" w:rsidRPr="008927B0" w:rsidRDefault="00627B8B" w:rsidP="00627B8B">
      <w:pPr>
        <w:jc w:val="both"/>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 xml:space="preserve">III. İlk Aksama </w:t>
      </w:r>
      <w:proofErr w:type="gramStart"/>
      <w:r w:rsidRPr="008927B0">
        <w:rPr>
          <w:rFonts w:ascii="Times New Roman" w:eastAsia="Calibri" w:hAnsi="Times New Roman" w:cs="Times New Roman"/>
          <w:b/>
          <w:bCs/>
          <w:color w:val="000000" w:themeColor="text1"/>
          <w:sz w:val="22"/>
          <w:szCs w:val="22"/>
        </w:rPr>
        <w:t>Veya</w:t>
      </w:r>
      <w:proofErr w:type="gramEnd"/>
      <w:r w:rsidRPr="008927B0">
        <w:rPr>
          <w:rFonts w:ascii="Times New Roman" w:eastAsia="Calibri" w:hAnsi="Times New Roman" w:cs="Times New Roman"/>
          <w:b/>
          <w:bCs/>
          <w:color w:val="000000" w:themeColor="text1"/>
          <w:sz w:val="22"/>
          <w:szCs w:val="22"/>
        </w:rPr>
        <w:t xml:space="preserve"> İhlal Aşaması</w:t>
      </w:r>
    </w:p>
    <w:p w14:paraId="17DD3F99"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Belirsizliklerin hâkim olduğu sözleşmesel ilişkilerde zaman içerisinde çeşitli aksaklıklar ortaya çıkmaktadır. Teslim sürelerine ilişkin sapmalar yaşanması, ödeme planlarının öngörülen şekilde işlememesi veya sunulan edimin sözleşmede öngörülenden farklı algılanması bu aşamada sıklıkla karşılaşılan durumlar arasında yer almaktadır.</w:t>
      </w:r>
    </w:p>
    <w:p w14:paraId="1DDD893B"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lastRenderedPageBreak/>
        <w:t>Bu tür aksaklıklar başlangıçta taraflar tarafından tolere edilebilir nitelikte değerlendirilmekte ve geçici sorunlar olarak görülmektedir. Ancak bu aşamada gerekli hukuki değerlendirme yapılmadığında, söz konusu aksaklıklar ilerleyen süreçte daha büyük uyuşmazlıkların temelini oluşturmaktadır.</w:t>
      </w:r>
    </w:p>
    <w:p w14:paraId="56E65C32" w14:textId="77777777" w:rsidR="00627B8B" w:rsidRPr="008927B0" w:rsidRDefault="00627B8B" w:rsidP="00627B8B">
      <w:pPr>
        <w:jc w:val="both"/>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IV. İletişimin Zayıflaması</w:t>
      </w:r>
    </w:p>
    <w:p w14:paraId="5E6BDA1B"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 xml:space="preserve">İlk aksama veya ihlalin ardından taraflar arasındaki iletişim biçimi değişmeye başlamaktadır. Yazılı ve sözlü iletişimde kullanılan dil daha temkinli ve mesafeli bir hâl almakta, taraflar karşı tarafın tutumunu kendi menfaatleri açısından riskli görmeye başlamaktadır. Yazışmaların niteliği değişmekte, telefon görüşmeleri azalmakta ve taraflar pozisyonlarını korumaya yönelik hareket etmektedir. Bu aşamada uyuşmazlık, yalnızca teknik bir aksama olmaktan çıkmakta ve iletişim sorunları </w:t>
      </w:r>
      <w:proofErr w:type="gramStart"/>
      <w:r w:rsidRPr="008927B0">
        <w:rPr>
          <w:rFonts w:ascii="Times New Roman" w:eastAsia="Calibri" w:hAnsi="Times New Roman" w:cs="Times New Roman"/>
          <w:color w:val="000000" w:themeColor="text1"/>
          <w:sz w:val="22"/>
          <w:szCs w:val="22"/>
        </w:rPr>
        <w:t>ile birlikte</w:t>
      </w:r>
      <w:proofErr w:type="gramEnd"/>
      <w:r w:rsidRPr="008927B0">
        <w:rPr>
          <w:rFonts w:ascii="Times New Roman" w:eastAsia="Calibri" w:hAnsi="Times New Roman" w:cs="Times New Roman"/>
          <w:color w:val="000000" w:themeColor="text1"/>
          <w:sz w:val="22"/>
          <w:szCs w:val="22"/>
        </w:rPr>
        <w:t xml:space="preserve"> derinleşmektedir.</w:t>
      </w:r>
    </w:p>
    <w:p w14:paraId="6A9B25E2" w14:textId="77777777" w:rsidR="00627B8B" w:rsidRPr="008927B0" w:rsidRDefault="00627B8B" w:rsidP="00627B8B">
      <w:pPr>
        <w:jc w:val="both"/>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V. Sözleşmenin Yorum Çatışmasına Dönüşmesi</w:t>
      </w:r>
    </w:p>
    <w:p w14:paraId="5D093467"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İletişimin zayıflamasıyla birlikte taraflar sözleşme metnini yeniden incelemeye yönelmektedir. Her taraf, sözleşme hükümlerini kendi ticari ve hukuki menfaatleri doğrultusunda yorumlamaya başlamaktadır. Sözleşmenin hazırlanma aşamasında yeterince açık olmayan hükümler, bu aşamada uyuşmazlığın merkezine yerleşmektedir. Uyuşmazlık bu noktada fiili bir aksama olmaktan çıkarak, sözleşme hükümlerinin yorumlanmasına dayalı hukuki bir tartışma niteliği kazanmaktadır.</w:t>
      </w:r>
    </w:p>
    <w:p w14:paraId="452C4370" w14:textId="77777777" w:rsidR="00627B8B" w:rsidRPr="008927B0" w:rsidRDefault="00627B8B" w:rsidP="00627B8B">
      <w:pPr>
        <w:jc w:val="both"/>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VI. Güven Kaybının Derinleşmesi</w:t>
      </w:r>
    </w:p>
    <w:p w14:paraId="4E23E85E"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Sözleşmenin farklı biçimlerde yorumlanması, taraflar arasındaki güven ilişkisini zayıflatmaktadır. Ödeme süreçlerinde gecikmeler yaşanmakta, teslimatlar durdurulmakta veya ek teminat talepleri gündeme gelmektedir. Taraflar ticari ilişkiyi sürdürmekten çok, olası risklere karşı kendilerini korumaya odaklanmaktadır. Bu aşamada ticari ilişki, iş birliği zemininden uzaklaşmakta ve savunma refleksiyle yürütülmektedir.</w:t>
      </w:r>
    </w:p>
    <w:p w14:paraId="52963F54" w14:textId="77777777" w:rsidR="00627B8B" w:rsidRPr="008927B0" w:rsidRDefault="00627B8B" w:rsidP="00627B8B">
      <w:pPr>
        <w:jc w:val="both"/>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VII. Hukuki Dilin Sürece Hâkim Olması</w:t>
      </w:r>
    </w:p>
    <w:p w14:paraId="690869E8"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Güven kaybının artmasıyla birlikte hukuki dil sürece hâkim olmaktadır. İhtarlar gönderilmekte, resmi yazışmalar yoğunlaşmakta ve avukatlar sürece dâhil edilmektedir. Tarafların talepleri hukuki çerçeveye oturtulmakta ve uyuşmazlık teknik bir dosya hâline gelmektedir. Bu aşamadan sonra uyuşmazlığın çözüm maliyeti artmakta ve tarafların esnek hareket alanı daralmaktadır.</w:t>
      </w:r>
    </w:p>
    <w:p w14:paraId="02D3D4CF" w14:textId="77777777" w:rsidR="00627B8B" w:rsidRPr="008927B0" w:rsidRDefault="00627B8B" w:rsidP="00627B8B">
      <w:pPr>
        <w:jc w:val="both"/>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VIII. Pozisyon Kilitlenmesi</w:t>
      </w:r>
    </w:p>
    <w:p w14:paraId="1397AF6A"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Hukuki sürecin resmiyet kazanmasıyla birlikte taraflar arasında pozisyon kilitlenmesi yaşanmaktadır. Taraflar geri adım atmanın hukuki ve ticari sonuçlar doğuracağı düşüncesiyle hareket etmekte ve uzlaşma ihtimali zayıflamaktadır. Zaman baskısı artmakta ve uyuşmazlık yönetimi daha karmaşık bir hâl almaktadır. Bu aşama, uyuşmazlığın taraflar açısından en maliyetli safhalarından birini oluşturmaktadır.</w:t>
      </w:r>
    </w:p>
    <w:p w14:paraId="3D31416A" w14:textId="77777777" w:rsidR="00627B8B" w:rsidRPr="008927B0" w:rsidRDefault="00627B8B" w:rsidP="00627B8B">
      <w:pPr>
        <w:jc w:val="both"/>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IX. Hukuki Sürece Taşınma</w:t>
      </w:r>
    </w:p>
    <w:p w14:paraId="25A74A10"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Pozisyonların kilitlenmesi sonucunda uyuşmazlık, arabuluculuk, tahkim veya dava yoluyla uzlaşma sağlayamayan taraflar, anlaşmazlığı hukuki sürece taşımaktadır. Bu aşamadan sonra uyuşmazlık ticari bir sorun olmaktan çıkıp hukuki ve mali sonuçlar doğuracak bir kapsama bürünmektedir. Tarafların ticari ilişkileri büyük ölçüde sona ermekte ve uyuşmazlık tamamen hukuki zeminde ilerlemektedir.</w:t>
      </w:r>
    </w:p>
    <w:p w14:paraId="1DD11764" w14:textId="77777777" w:rsidR="00627B8B" w:rsidRPr="008927B0" w:rsidRDefault="00627B8B" w:rsidP="00627B8B">
      <w:pPr>
        <w:jc w:val="both"/>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 xml:space="preserve">X. Zincirleme Etkiler </w:t>
      </w:r>
    </w:p>
    <w:p w14:paraId="797B070E" w14:textId="77777777" w:rsidR="00627B8B" w:rsidRPr="008927B0" w:rsidRDefault="00627B8B" w:rsidP="00627B8B">
      <w:pPr>
        <w:jc w:val="both"/>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lastRenderedPageBreak/>
        <w:t>Hukuki sürece taşınan ticari uyuşmazlıklar, tarafların nakit akışını etkilemekte, ticari itibar üzerinde riskler doğurmakta ve diğer sözleşmesel ilişkileri de dolaylı olarak etkilemektedir. Bu aşamada taraflar, uyuşmazlığın daha erken bir safhada önlenebileceğini fark etmektedir. Sözleşme aşamasında daha ayrıntılı düzenlemeler yapılmasının ve erken müdahalenin uyuşmazlığın büyümesini engelleyebileceği gerçeği, çoğu zaman bu noktada ortaya çıkmaktadır.</w:t>
      </w:r>
    </w:p>
    <w:p w14:paraId="57BF1E49" w14:textId="77777777" w:rsidR="00627B8B" w:rsidRPr="008927B0" w:rsidRDefault="00627B8B" w:rsidP="00627B8B">
      <w:pPr>
        <w:spacing w:after="0"/>
        <w:jc w:val="both"/>
        <w:rPr>
          <w:rFonts w:ascii="Times New Roman" w:hAnsi="Times New Roman" w:cs="Times New Roman"/>
          <w:b/>
          <w:bCs/>
          <w:sz w:val="22"/>
          <w:szCs w:val="22"/>
        </w:rPr>
      </w:pPr>
    </w:p>
    <w:p w14:paraId="5B4B86F4" w14:textId="5422B100" w:rsidR="00627B8B" w:rsidRPr="008927B0" w:rsidRDefault="00CC0219" w:rsidP="00CC0219">
      <w:pPr>
        <w:spacing w:after="0"/>
        <w:jc w:val="right"/>
        <w:rPr>
          <w:rFonts w:ascii="Times New Roman" w:hAnsi="Times New Roman" w:cs="Times New Roman"/>
          <w:b/>
          <w:bCs/>
          <w:sz w:val="22"/>
          <w:szCs w:val="22"/>
        </w:rPr>
      </w:pPr>
      <w:r>
        <w:rPr>
          <w:rFonts w:ascii="Times New Roman" w:hAnsi="Times New Roman" w:cs="Times New Roman"/>
          <w:b/>
          <w:bCs/>
          <w:sz w:val="22"/>
          <w:szCs w:val="22"/>
        </w:rPr>
        <w:t>OCAK 2026</w:t>
      </w:r>
    </w:p>
    <w:p w14:paraId="703B37A0" w14:textId="77777777" w:rsidR="008A705A" w:rsidRPr="008927B0" w:rsidRDefault="008A705A" w:rsidP="008A705A">
      <w:pPr>
        <w:pStyle w:val="ListeParagraf"/>
        <w:numPr>
          <w:ilvl w:val="0"/>
          <w:numId w:val="2"/>
        </w:numPr>
        <w:spacing w:after="0"/>
        <w:ind w:left="0"/>
        <w:jc w:val="both"/>
        <w:rPr>
          <w:rFonts w:ascii="Times New Roman" w:hAnsi="Times New Roman" w:cs="Times New Roman"/>
          <w:b/>
          <w:bCs/>
          <w:sz w:val="22"/>
          <w:szCs w:val="22"/>
        </w:rPr>
      </w:pPr>
      <w:r w:rsidRPr="008927B0">
        <w:rPr>
          <w:rFonts w:ascii="Times New Roman" w:hAnsi="Times New Roman" w:cs="Times New Roman"/>
          <w:b/>
          <w:bCs/>
          <w:sz w:val="22"/>
          <w:szCs w:val="22"/>
        </w:rPr>
        <w:t xml:space="preserve">ŞİRKETLERİN GÜNLÜK KARARLARINDA ORTAYA ÇIKAN HUKUKİ RİSKLER </w:t>
      </w:r>
    </w:p>
    <w:p w14:paraId="6997BD2D" w14:textId="77777777" w:rsidR="00627B8B" w:rsidRPr="008927B0" w:rsidRDefault="00627B8B" w:rsidP="00627B8B">
      <w:pPr>
        <w:spacing w:after="0"/>
        <w:jc w:val="both"/>
        <w:rPr>
          <w:rFonts w:ascii="Times New Roman" w:hAnsi="Times New Roman" w:cs="Times New Roman"/>
          <w:b/>
          <w:bCs/>
          <w:sz w:val="22"/>
          <w:szCs w:val="22"/>
        </w:rPr>
      </w:pPr>
    </w:p>
    <w:p w14:paraId="5868D735"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Şirketlerin günlük faaliyetleri kapsamında alınan kararlar, çoğu zaman operasyonel hız, ticari ihtiyaçlar ve pratik zorunluluklar doğrultusunda şekillenmektedir. Yazışmalar, talimat ve onay süreçleri, sözleşmesel işlemler ile personel yönetimine ilişkin tercihler çoğunlukla rutin işleyişin doğal bir parçası olarak değerlendirilmekte ve bu işlemlerin hukuki sonuçları göz ardı edilebilmektedir. Ancak söz konusu her bir karar ve uygulama, şirket bakımından doğrudan veya dolaylı hukuki sorumluluk doğurma potansiyeli taşımaktadır.</w:t>
      </w:r>
    </w:p>
    <w:p w14:paraId="4914F6E0"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Günlük kararların hukuki risk üretmesinin temel nedeni, bu kararların çoğunlukla sistematik bir iç düzenlemeye veya yazılı prosedürlere dayanmadan alınmasıdır. Uygulamada hukuki riskler, çoğunlukla açık ihlallerden değil; yazılı hale getirilmemiş uygulamalardan, alışkanlık niteliği kazanmış ancak denetime tabi olmayan süreçlerden ve kontrol mekanizmaları bulunmayan karar alma yapılarından kaynaklanmaktadır. Bu nedenle hukuki korunmanın sağlanması, sonradan müdahale ile değil; karar alma süreçlerinin baştan itibaren hukuki ilkelere uygun biçimde yapılandırılması ile mümkündür.</w:t>
      </w:r>
    </w:p>
    <w:p w14:paraId="444FDB6C" w14:textId="77777777" w:rsidR="00FA6CAB" w:rsidRPr="008927B0" w:rsidRDefault="00FA6CAB" w:rsidP="00FA6CAB">
      <w:pPr>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Yazılı İletişimde Hukuki Güvence Sağlanması</w:t>
      </w:r>
    </w:p>
    <w:p w14:paraId="46A1953A"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Şirket içi ve dışı yazılı iletişim, hukuki risklerin en sık ortaya çıktığı alanlardan biridir. E-posta, anlık mesajlaşma uygulamaları ve kurumsal iletişim platformları üzerinden yapılan yazışmalar, uyuşmazlık hâlinde bağlayıcı delil niteliği kazanabilmektedir.</w:t>
      </w:r>
    </w:p>
    <w:p w14:paraId="3FE6A77D"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Bu riskten korunmak için şirketlerin, yazılı iletişimin kimler tarafından ve hangi sınırlar içinde yapılabileceğini açık biçimde belirlemesi önem taşımaktadır. Yetki sınırlarının yazılı olarak tanımlanması, standart iletişim dili oluşturulması ve taahhüt içerebilecek ifadelerin kontrol mekanizmasına tabi tutulması, sorumluluk alanının belirsizleşmesini engellemektedir.</w:t>
      </w:r>
    </w:p>
    <w:p w14:paraId="0EB442F3" w14:textId="77777777" w:rsidR="00FA6CAB" w:rsidRPr="008927B0" w:rsidRDefault="00FA6CAB" w:rsidP="00FA6CAB">
      <w:pPr>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Sözleşme ve Fiili Uygulama Uyumu</w:t>
      </w:r>
    </w:p>
    <w:p w14:paraId="34792444"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Sözleşmeler, taraflar arasındaki ilişkinin hukuki çerçevesini belirlemekle birlikte, günlük uygulamalarla tutarlı biçimde yürütülmelidir.</w:t>
      </w:r>
    </w:p>
    <w:p w14:paraId="26712331"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Sözleşmede yer almayan yükümlülüklerin fiilen uygulanması veya yazılı düzenleme yapılmaksızın farklı uygulamaların sürdürülmesi, uyuşmazlık hâlinde ilişkinin hukuki niteliğinin tartışmalı hâle gelmesine yol açabilmektedir</w:t>
      </w:r>
    </w:p>
    <w:p w14:paraId="5D5FC426"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Bu nedenle fiili uygulamalar ile sözleşme hükümleri arasındaki ilişkinin yazılı olarak ortaya konulması, hukuki belirsizliklerin azaltılması açısından önem taşımaktadır.</w:t>
      </w:r>
    </w:p>
    <w:p w14:paraId="3DF4CC3B" w14:textId="77777777" w:rsidR="00FA6CAB" w:rsidRPr="008927B0" w:rsidRDefault="00FA6CAB" w:rsidP="00FA6CAB">
      <w:pPr>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Yetki ve Onay Mekanizmalarının Netleştirilmesi</w:t>
      </w:r>
    </w:p>
    <w:p w14:paraId="734BD8E2"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 xml:space="preserve">Yetki ve temsil sınırlarının açık şekilde belirlenmediği kurumsal yapılarda, günlük kararlar şirketi bağlayan sonuçlar doğurabilir. İç onay süreçleri tamamlanmadan gerçekleştirilen işlemler veya temsil </w:t>
      </w:r>
      <w:r w:rsidRPr="008927B0">
        <w:rPr>
          <w:rFonts w:ascii="Times New Roman" w:eastAsia="Calibri" w:hAnsi="Times New Roman" w:cs="Times New Roman"/>
          <w:color w:val="000000" w:themeColor="text1"/>
          <w:sz w:val="22"/>
          <w:szCs w:val="22"/>
        </w:rPr>
        <w:lastRenderedPageBreak/>
        <w:t>yetkisi bulunmayan kişiler tarafından alınan kararlar, geri dönülmesi güç hukuki sonuçlara yol açabilmektedir.</w:t>
      </w:r>
    </w:p>
    <w:p w14:paraId="3FCC540E"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Bu sebeple yetki matrislerinin oluşturulması, imza sirkülerinin güncel tutulması, karar alma süreçlerinin yazılı onay mekanizmalarına bağlanması ve yetkinin kişiye bağlı değil, pozisyona bağlı olarak tanımlanması hukuki risklerin önlenmesi bakımından gereklidir.</w:t>
      </w:r>
    </w:p>
    <w:p w14:paraId="1CC183F7" w14:textId="77777777" w:rsidR="00FA6CAB" w:rsidRPr="008927B0" w:rsidRDefault="00FA6CAB" w:rsidP="00FA6CAB">
      <w:pPr>
        <w:rPr>
          <w:rFonts w:ascii="Times New Roman" w:eastAsia="Calibri" w:hAnsi="Times New Roman" w:cs="Times New Roman"/>
          <w:color w:val="000000" w:themeColor="text1"/>
          <w:sz w:val="22"/>
          <w:szCs w:val="22"/>
        </w:rPr>
      </w:pPr>
    </w:p>
    <w:p w14:paraId="46F05D44" w14:textId="77777777" w:rsidR="00FA6CAB" w:rsidRPr="008927B0" w:rsidRDefault="00FA6CAB" w:rsidP="00FA6CAB">
      <w:pPr>
        <w:rPr>
          <w:rFonts w:ascii="Times New Roman" w:eastAsia="Calibri" w:hAnsi="Times New Roman" w:cs="Times New Roman"/>
          <w:color w:val="000000" w:themeColor="text1"/>
          <w:sz w:val="22"/>
          <w:szCs w:val="22"/>
        </w:rPr>
      </w:pPr>
    </w:p>
    <w:p w14:paraId="0E36DEEF" w14:textId="77777777" w:rsidR="00FA6CAB" w:rsidRPr="008927B0" w:rsidRDefault="00FA6CAB" w:rsidP="00FA6CAB">
      <w:pPr>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Çalışan Yönetiminde Hukuki Çerçevenin Korunması</w:t>
      </w:r>
    </w:p>
    <w:p w14:paraId="6A133982"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Günlük insan kaynakları kararları, hukuki uyuşmazlıkların en yoğun ortaya çıktığı alanlardan biridir. Görev tanımlarının açık olmaması, disiplin süreçlerinin usule uygun yürütülmemesi, performans değerlendirmelerinin objektif kriterlere dayandırılmaması veya fesih süreçlerinin yazılı ve delillendirilebilir şekilde belgelenmemesi hâlinde, iyi niyetli uygulamalar dahi yargı önünde işveren aleyhine iddiaya konu olabilir.</w:t>
      </w:r>
    </w:p>
    <w:p w14:paraId="7E922363"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Bu nedenle çalışanlara ilişkin kararların yazılı prosedürlere bağlanması, süreçlerin sistematik biçimde belgelendirilmesi ve uygulama birliğinin sağlanması önem taşımaktadır. İnsan kaynakları uygulamalarının, İş Kanunu, ilgili mevzuat ve iç düzenlemelere uygun biçimde yürütülmesi, işverenin hukuki sorumluluk alanını önemli ölçüde daraltmaktadır.</w:t>
      </w:r>
    </w:p>
    <w:p w14:paraId="47649423" w14:textId="77777777" w:rsidR="00FA6CAB" w:rsidRPr="008927B0" w:rsidRDefault="00FA6CAB" w:rsidP="00FA6CAB">
      <w:pPr>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Kişisel Veri ve Gizlilik Risklerinin Yönetimi</w:t>
      </w:r>
    </w:p>
    <w:p w14:paraId="7893D043"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Kişisel verilerin işlenmesi, saklanması ve paylaşılması günlük operasyonların ayrılmaz bir parçasıdır. Ancak teknik altyapının yanı sıra, kullanıcı alışkanlıkları da ciddi riskler doğurabilmektedir.</w:t>
      </w:r>
    </w:p>
    <w:p w14:paraId="59A99A77"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Korunma açısından, erişim yetkilerinin sınırlandırılması, eski çalışanlara ait erişimlerin kapatılması, üçüncü taraf yazılımların denetlenmesi ve çalışanlara veri farkındalığı eğitimi verilmesi önem taşımaktadır. Veri güvenliği, teknik önlemler kadar operasyonel disiplin gerektirmektedir.</w:t>
      </w:r>
    </w:p>
    <w:p w14:paraId="5A97B872" w14:textId="77777777" w:rsidR="00FA6CAB" w:rsidRPr="008927B0" w:rsidRDefault="00FA6CAB" w:rsidP="00FA6CAB">
      <w:pPr>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Tedarikçi ve İş Ortağı Süreçlerinde Hukuki Güvence</w:t>
      </w:r>
    </w:p>
    <w:p w14:paraId="098BD8DD"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Tedarikçi ve iş ortağı ilişkilerinde hukuki sorumluluk şirket üzerinde kalmaya devam etmektedir. Sözleşmesiz veya yetersiz sözleşmelerle çalışılması, alt yüklenici risklerinin değerlendirilmemesi ve uyum kontrollerinin yapılmaması, şirketi doğrudan sorumluluk altına sokabilmektedir.</w:t>
      </w:r>
    </w:p>
    <w:p w14:paraId="550B5BE5"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Bu risklerden korunmak için tedarikçi seçim süreçlerinin hukuki değerlendirmeyle desteklenmesi, sözleşmelerin standartlaştırılması ve uyum kriterlerinin sözleşmesel yükümlülük hâline getirilmesi gerekmektedir.</w:t>
      </w:r>
    </w:p>
    <w:p w14:paraId="2FD13037" w14:textId="77777777" w:rsidR="00FA6CAB" w:rsidRPr="008927B0" w:rsidRDefault="00FA6CAB" w:rsidP="00FA6CAB">
      <w:pPr>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Reklam ve Pazarlama Kararlarında Önleyici Yaklaşım</w:t>
      </w:r>
    </w:p>
    <w:p w14:paraId="07338786"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Reklam ve pazarlama faaliyetlerinde hız ve görünürlük ihtiyacı, hukuki denetimin geri planda kalmasına yol açabilmektedir. Yanıltıcı beyanlar veya karşılaştırmalı ifadeler, idari yaptırımlar ve itibar kaybı risklerini beraberinde getirmektedir.</w:t>
      </w:r>
    </w:p>
    <w:p w14:paraId="5EE2D57A"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Korunma, bu alandaki içeriklerin yayımlanmadan önce hukuki değerlendirmeden geçirilmesi ve sorumluluğun belirli bir kontrol noktasında toplanmasıyla sağlanabilmektedir.</w:t>
      </w:r>
    </w:p>
    <w:p w14:paraId="3F249332" w14:textId="77777777" w:rsidR="00FA6CAB" w:rsidRPr="008927B0" w:rsidRDefault="00FA6CAB" w:rsidP="00FA6CAB">
      <w:pPr>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Yazılı Politika ve Prosedürlerle Yapısal Koruma</w:t>
      </w:r>
    </w:p>
    <w:p w14:paraId="792FB1E3"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lastRenderedPageBreak/>
        <w:t>Günlük kararların hukuki risk doğurmaması, büyük ölçüde süreçlerin yazılı politika ve prosedürlerle tanımlanmasına bağlıdır. Çalışanların hangi ilkelere göre hareket edeceğinin açıkça belirlendiği, yetki–sorumluluk dağılımının tanımlandığı ve denetim–izleme mekanizmalarının kurumsal olarak işletildiği yapılarda, riskler yönetilebilir ve hesap verilebilir hâle gelmektedir.</w:t>
      </w:r>
    </w:p>
    <w:p w14:paraId="35C851AB"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Yazılı çerçevesi bulunmayan süreçlerde ise işlemlerin ispatı ve hukuki savunma imkânları belirsiz hâlde kalmakta; uyuşmazlık durumunda idari ve yargısal merciler nezdinde şirket aleyhine sonuçlar ortaya çıkabilmektedir.</w:t>
      </w:r>
    </w:p>
    <w:p w14:paraId="251BD5D5" w14:textId="77777777" w:rsidR="00FA6CAB" w:rsidRDefault="00FA6CAB" w:rsidP="00FA6CAB">
      <w:pPr>
        <w:rPr>
          <w:rFonts w:ascii="Times New Roman" w:eastAsia="Calibri" w:hAnsi="Times New Roman" w:cs="Times New Roman"/>
          <w:b/>
          <w:bCs/>
          <w:color w:val="000000" w:themeColor="text1"/>
          <w:sz w:val="22"/>
          <w:szCs w:val="22"/>
        </w:rPr>
      </w:pPr>
    </w:p>
    <w:p w14:paraId="1F5156BC" w14:textId="77777777" w:rsidR="005E39B2" w:rsidRPr="008927B0" w:rsidRDefault="005E39B2" w:rsidP="00FA6CAB">
      <w:pPr>
        <w:rPr>
          <w:rFonts w:ascii="Times New Roman" w:eastAsia="Calibri" w:hAnsi="Times New Roman" w:cs="Times New Roman"/>
          <w:b/>
          <w:bCs/>
          <w:color w:val="000000" w:themeColor="text1"/>
          <w:sz w:val="22"/>
          <w:szCs w:val="22"/>
        </w:rPr>
      </w:pPr>
    </w:p>
    <w:p w14:paraId="37E71882" w14:textId="77777777" w:rsidR="00FA6CAB" w:rsidRPr="008927B0" w:rsidRDefault="00FA6CAB" w:rsidP="00FA6CAB">
      <w:pPr>
        <w:rPr>
          <w:rFonts w:ascii="Times New Roman" w:eastAsia="Calibri" w:hAnsi="Times New Roman" w:cs="Times New Roman"/>
          <w:b/>
          <w:bCs/>
          <w:color w:val="000000" w:themeColor="text1"/>
          <w:sz w:val="22"/>
          <w:szCs w:val="22"/>
        </w:rPr>
      </w:pPr>
      <w:r w:rsidRPr="008927B0">
        <w:rPr>
          <w:rFonts w:ascii="Times New Roman" w:eastAsia="Calibri" w:hAnsi="Times New Roman" w:cs="Times New Roman"/>
          <w:b/>
          <w:bCs/>
          <w:color w:val="000000" w:themeColor="text1"/>
          <w:sz w:val="22"/>
          <w:szCs w:val="22"/>
        </w:rPr>
        <w:t>Sonuç ve Değerlendirme</w:t>
      </w:r>
    </w:p>
    <w:p w14:paraId="37A3FBAF"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Şirketlerin günlük karar ve uygulamaları, hukuki risklerin en sık ortaya çıktığı alanlardandır. Bu riskler çoğu zaman tekil hatalı uygulamalardan değil; yazılı olmayan işletme alışkanlıklarından, sistematik olmayan karar alma süreçlerinden ve denetimsiz uygulamalardan kaynaklanmaktadır.</w:t>
      </w:r>
    </w:p>
    <w:p w14:paraId="28FB34DA" w14:textId="77777777" w:rsidR="00FA6CAB" w:rsidRPr="008927B0" w:rsidRDefault="00FA6CAB" w:rsidP="00FA6CAB">
      <w:pPr>
        <w:rPr>
          <w:rFonts w:ascii="Times New Roman" w:eastAsia="Calibri" w:hAnsi="Times New Roman" w:cs="Times New Roman"/>
          <w:color w:val="000000" w:themeColor="text1"/>
          <w:sz w:val="22"/>
          <w:szCs w:val="22"/>
        </w:rPr>
      </w:pPr>
      <w:r w:rsidRPr="008927B0">
        <w:rPr>
          <w:rFonts w:ascii="Times New Roman" w:eastAsia="Calibri" w:hAnsi="Times New Roman" w:cs="Times New Roman"/>
          <w:color w:val="000000" w:themeColor="text1"/>
          <w:sz w:val="22"/>
          <w:szCs w:val="22"/>
        </w:rPr>
        <w:t>Hukuki risklerden korunma, sonradan müdahale veya uyuşmazlık anında savunma üretme yoluyla değil; karar alma süreçlerinin baştan itibaren hukuki farkındalık, yazılı kurallar ve kurumsal kontrollerle yapılandırılması ile mümkündür. Dolayısıyla günlük karar mekanizmalarının hukuki çerçeve ile uyumlu şekilde işletilmesi; şirketlerin uzun vadeli sürdürülebilirliği, yönetimsel hesap verebilirliği ve kurumsal dayanıklılığı bakımından belirleyici bir rol oynamaktadır.</w:t>
      </w:r>
    </w:p>
    <w:p w14:paraId="0975FBF9" w14:textId="77777777" w:rsidR="00627B8B" w:rsidRPr="008927B0" w:rsidRDefault="00627B8B" w:rsidP="00627B8B">
      <w:pPr>
        <w:spacing w:after="0"/>
        <w:jc w:val="both"/>
        <w:rPr>
          <w:rFonts w:ascii="Times New Roman" w:hAnsi="Times New Roman" w:cs="Times New Roman"/>
          <w:b/>
          <w:bCs/>
          <w:sz w:val="22"/>
          <w:szCs w:val="22"/>
        </w:rPr>
      </w:pPr>
    </w:p>
    <w:p w14:paraId="3493D9F2" w14:textId="71ABF13F" w:rsidR="00627B8B" w:rsidRPr="008927B0" w:rsidRDefault="00517A85" w:rsidP="00CC0219">
      <w:pPr>
        <w:spacing w:after="0"/>
        <w:jc w:val="right"/>
        <w:rPr>
          <w:rFonts w:ascii="Times New Roman" w:hAnsi="Times New Roman" w:cs="Times New Roman"/>
          <w:b/>
          <w:bCs/>
          <w:sz w:val="22"/>
          <w:szCs w:val="22"/>
        </w:rPr>
      </w:pPr>
      <w:r>
        <w:rPr>
          <w:rFonts w:ascii="Times New Roman" w:hAnsi="Times New Roman" w:cs="Times New Roman"/>
          <w:b/>
          <w:bCs/>
          <w:sz w:val="22"/>
          <w:szCs w:val="22"/>
        </w:rPr>
        <w:t>16 ŞUBAT 2026</w:t>
      </w:r>
    </w:p>
    <w:p w14:paraId="2AD1F9E6" w14:textId="77777777" w:rsidR="008A705A" w:rsidRPr="008927B0" w:rsidRDefault="008A705A" w:rsidP="008A705A">
      <w:pPr>
        <w:pStyle w:val="ListeParagraf"/>
        <w:numPr>
          <w:ilvl w:val="0"/>
          <w:numId w:val="2"/>
        </w:numPr>
        <w:spacing w:after="0"/>
        <w:ind w:left="0"/>
        <w:jc w:val="both"/>
        <w:rPr>
          <w:rFonts w:ascii="Times New Roman" w:hAnsi="Times New Roman" w:cs="Times New Roman"/>
          <w:b/>
          <w:bCs/>
          <w:sz w:val="22"/>
          <w:szCs w:val="22"/>
        </w:rPr>
      </w:pPr>
      <w:r w:rsidRPr="008927B0">
        <w:rPr>
          <w:rFonts w:ascii="Times New Roman" w:hAnsi="Times New Roman" w:cs="Times New Roman"/>
          <w:b/>
          <w:bCs/>
          <w:sz w:val="22"/>
          <w:szCs w:val="22"/>
        </w:rPr>
        <w:t>ŞİRKETLER İÇİN TİCARET HUKUKU REHBERİ #1 YETKİ VE İMZA YAPISINDA HUKUKİ RİSKLER NEREDE BAŞLAR?</w:t>
      </w:r>
    </w:p>
    <w:p w14:paraId="30ED62E3" w14:textId="77777777" w:rsidR="00631422" w:rsidRPr="008927B0" w:rsidRDefault="00631422">
      <w:pPr>
        <w:rPr>
          <w:rFonts w:ascii="Times New Roman" w:hAnsi="Times New Roman" w:cs="Times New Roman"/>
          <w:b/>
          <w:bCs/>
          <w:sz w:val="22"/>
          <w:szCs w:val="22"/>
        </w:rPr>
      </w:pPr>
    </w:p>
    <w:p w14:paraId="36033B56"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Şirketlerde yetki ve imza yapısı, çoğu zaman idari bir düzenleme olarak ele alınmaktadır. Oysa bu yapı, şirketin üçüncü kişilerle kurduğu tüm hukuki ilişkilerin temelini oluşturmaktadır. Yetki ve imza düzeninin doğru kurulması, şirketin dış dünyaya karşı nasıl bağlandığını ve iç ilişkilerde sorumluluğun kimde toplandığını doğrudan belirlemektedir. Bu nedenle yetki ve imza yapısındaki her belirsizlik, potansiyel bir hukuki risk alanı üretmektedir.</w:t>
      </w:r>
    </w:p>
    <w:p w14:paraId="350829AF"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Yetki ve imza yapısı, belgeler ile fiili uygulama arasında uyum gösterdiği sürece sorun yaratmamaktadır. Bu uyum bozulduğunda ise risk görünür hâle gelmektedir.</w:t>
      </w:r>
    </w:p>
    <w:p w14:paraId="1533F771" w14:textId="77777777" w:rsidR="00655FB8" w:rsidRPr="008927B0" w:rsidRDefault="00655FB8" w:rsidP="00655FB8">
      <w:pPr>
        <w:pStyle w:val="Balk2"/>
        <w:spacing w:before="299" w:after="299"/>
        <w:jc w:val="both"/>
        <w:rPr>
          <w:rFonts w:ascii="Times New Roman" w:eastAsiaTheme="minorEastAsia" w:hAnsi="Times New Roman" w:cs="Times New Roman"/>
          <w:b/>
          <w:bCs/>
          <w:color w:val="auto"/>
          <w:sz w:val="22"/>
          <w:szCs w:val="22"/>
        </w:rPr>
      </w:pPr>
      <w:r w:rsidRPr="008927B0">
        <w:rPr>
          <w:rFonts w:ascii="Times New Roman" w:eastAsiaTheme="minorEastAsia" w:hAnsi="Times New Roman" w:cs="Times New Roman"/>
          <w:b/>
          <w:bCs/>
          <w:color w:val="auto"/>
          <w:sz w:val="22"/>
          <w:szCs w:val="22"/>
        </w:rPr>
        <w:t>Yetkinin Hukuki Dayanağı Doğru Kurulmadığında</w:t>
      </w:r>
    </w:p>
    <w:p w14:paraId="05A86DDD"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Hukuki riskin ilk ortaya çıktığı alan, yetkinin hangi hukuki belgeye dayandığının net olmamasıdır. Şirket yönetimi tarafından alınan iç kararlarla yetki verilmiş olabilir. Ancak bu yetkinin ticaret siciline tescil edilmemiş olması veya imza sirkülerine yansıtılmamış bulunması, üçüncü kişiler bakımından farklı sonuçlar doğurmaktadır.</w:t>
      </w:r>
    </w:p>
    <w:p w14:paraId="298B7986"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Bu durumda şirket, yapılan işlemle dış ilişkilerde bağlı kalabilmektedir. Buna karşılık şirket içi ilişkilerde, işlemi yapan kişinin yetkisiz hareket edip etmediği tartışma konusu hâline gelmektedir. Risk, şirketin dışarıya karşı sorumluluk üstlenmesiyle, içeride sorumluluğun belirsizleştiği noktada başlamaktadır.</w:t>
      </w:r>
    </w:p>
    <w:p w14:paraId="66C1D308"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lastRenderedPageBreak/>
        <w:t>Bu nedenle yetkinin kaynağı, her zaman yazılı, güncel ve üçüncü kişiler tarafından erişilebilir belgeler üzerinden kurulmaktadır.</w:t>
      </w:r>
    </w:p>
    <w:p w14:paraId="34C9D371" w14:textId="77777777" w:rsidR="00655FB8" w:rsidRPr="008927B0" w:rsidRDefault="00655FB8" w:rsidP="00655FB8">
      <w:pPr>
        <w:pStyle w:val="Balk2"/>
        <w:spacing w:before="299" w:after="299"/>
        <w:jc w:val="both"/>
        <w:rPr>
          <w:rFonts w:ascii="Times New Roman" w:eastAsiaTheme="minorEastAsia" w:hAnsi="Times New Roman" w:cs="Times New Roman"/>
          <w:b/>
          <w:bCs/>
          <w:color w:val="auto"/>
          <w:sz w:val="22"/>
          <w:szCs w:val="22"/>
        </w:rPr>
      </w:pPr>
      <w:r w:rsidRPr="008927B0">
        <w:rPr>
          <w:rFonts w:ascii="Times New Roman" w:eastAsiaTheme="minorEastAsia" w:hAnsi="Times New Roman" w:cs="Times New Roman"/>
          <w:b/>
          <w:bCs/>
          <w:color w:val="auto"/>
          <w:sz w:val="22"/>
          <w:szCs w:val="22"/>
        </w:rPr>
        <w:t>Yetki Kapsamı Açık Tanımlanmadığında</w:t>
      </w:r>
    </w:p>
    <w:p w14:paraId="3DC1615B"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Yetkinin verilmiş olması, hukuki riskin ortadan kalktığı anlamına gelmemektedir. Yetkinin kapsamı açık biçimde tanımlanmadığında, imza sahibinin hangi işlemleri hangi sınırlar içinde yapabileceği belirsizleşmektedir. Parasal sınır, konu sınırı veya süre sınırı içermeyen yetkilendirmeler, imza sahibinin görev alanı dışına taşan işlemler yapmasına yol açabilmektedir.</w:t>
      </w:r>
    </w:p>
    <w:p w14:paraId="3EC0A897"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Bu durum, şirketin öngörmediği borç ilişkileri altına girmesine neden olmaktadır. Özellikle finansman işlemleri, kefalet taahhütleri ve uzun vadeli ticari sözleşmeler bakımından yetki sınırlarının belirsizliği, yöneticiler açısından doğrudan sorumluluk alanı oluşturmaktadır.</w:t>
      </w:r>
    </w:p>
    <w:p w14:paraId="00107C1B"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Yol gösterici bir yaklaşım olarak, her yetkilendirmenin işlem türü, tutar ve süre bakımından sınırlandırılması gerekmektedir.</w:t>
      </w:r>
    </w:p>
    <w:p w14:paraId="1375C3B8" w14:textId="77777777" w:rsidR="00655FB8" w:rsidRPr="008927B0" w:rsidRDefault="00655FB8" w:rsidP="00655FB8">
      <w:pPr>
        <w:pStyle w:val="Balk2"/>
        <w:spacing w:before="299" w:after="299"/>
        <w:jc w:val="both"/>
        <w:rPr>
          <w:rFonts w:ascii="Times New Roman" w:eastAsiaTheme="minorEastAsia" w:hAnsi="Times New Roman" w:cs="Times New Roman"/>
          <w:b/>
          <w:bCs/>
          <w:color w:val="auto"/>
          <w:sz w:val="22"/>
          <w:szCs w:val="22"/>
        </w:rPr>
      </w:pPr>
      <w:r w:rsidRPr="008927B0">
        <w:rPr>
          <w:rFonts w:ascii="Times New Roman" w:eastAsiaTheme="minorEastAsia" w:hAnsi="Times New Roman" w:cs="Times New Roman"/>
          <w:b/>
          <w:bCs/>
          <w:color w:val="auto"/>
          <w:sz w:val="22"/>
          <w:szCs w:val="22"/>
        </w:rPr>
        <w:t>İmza Biçimi ile Fiili Uygulama Uyuşmadığında</w:t>
      </w:r>
    </w:p>
    <w:p w14:paraId="27E22E42"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Uygulamada sıkça karşılaşılan bir diğer risk alanı, imza sirkülerinde birlikte imza öngörülmesine rağmen işlemlerin fiiliyatta tek imza ile yürütülmesidir. Bu durumda üçüncü kişiler iyi niyetli ise işlem geçerli sonuçlar doğurabilmektedir. Ancak şirket içi ilişkilerde, yetki veren makam ile imzayı atan kişi arasında ciddi sorumluluk tartışmaları ortaya çıkmaktadır.</w:t>
      </w:r>
    </w:p>
    <w:p w14:paraId="2B1554E4"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Risk, imza düzeni ile fiili uygulama arasındaki kopuklukta yoğunlaşmaktadır. Bu kopukluk sürdüğü sürece, şirket iç denetimi zayıflamakta ve sorumluluk zinciri netliğini kaybetmektedir.</w:t>
      </w:r>
    </w:p>
    <w:p w14:paraId="6C6677F5"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Bu nedenle imza biçiminin günlük uygulamayla birebir örtüşmesi gerekmektedir.</w:t>
      </w:r>
    </w:p>
    <w:p w14:paraId="3214D6A2" w14:textId="77777777" w:rsidR="00655FB8" w:rsidRPr="008927B0" w:rsidRDefault="00655FB8" w:rsidP="00655FB8">
      <w:pPr>
        <w:pStyle w:val="Balk2"/>
        <w:spacing w:before="299" w:after="299"/>
        <w:jc w:val="both"/>
        <w:rPr>
          <w:rFonts w:ascii="Times New Roman" w:eastAsiaTheme="minorEastAsia" w:hAnsi="Times New Roman" w:cs="Times New Roman"/>
          <w:b/>
          <w:bCs/>
          <w:color w:val="auto"/>
          <w:sz w:val="22"/>
          <w:szCs w:val="22"/>
        </w:rPr>
      </w:pPr>
      <w:r w:rsidRPr="008927B0">
        <w:rPr>
          <w:rFonts w:ascii="Times New Roman" w:eastAsiaTheme="minorEastAsia" w:hAnsi="Times New Roman" w:cs="Times New Roman"/>
          <w:b/>
          <w:bCs/>
          <w:color w:val="auto"/>
          <w:sz w:val="22"/>
          <w:szCs w:val="22"/>
        </w:rPr>
        <w:t>Grup Şirketlerinde Yetki Karmaşası</w:t>
      </w:r>
    </w:p>
    <w:p w14:paraId="647ADC97"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Grup şirket yapılarında yetki ve imza riski daha karmaşık hâle gelmektedir. Bir grup şirketinde yetkili olan kişinin, diğer grup şirketleri adına da fiilen işlem yaptığı durumlar sıklıkla görülmektedir. Ancak bu fiili durum, hukuki temsil yetkisi doğurmamaktadır.</w:t>
      </w:r>
    </w:p>
    <w:p w14:paraId="586D8198"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Her tüzel kişilik, kendi yetkilendirme belgeleriyle temsil edilmektedir. Grup içi organizasyon şemaları, hukuki temsil belgesi niteliği taşımamaktadır. Bu nedenle bir şirket adına yapılan işlemin hangi tüzel kişiliği bağladığı netleşmediğinde, işlem geçerliliği ve sorumluluk konuları hukuki risk alanı hâline gelmektedir.</w:t>
      </w:r>
    </w:p>
    <w:p w14:paraId="7C117DE8"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Yol gösterici yaklaşım, her grup şirketi için ayrı ve güncel yetkilendirme belgelerinin düzenlenmesi yönünde olmaktadır.</w:t>
      </w:r>
    </w:p>
    <w:p w14:paraId="46181761" w14:textId="77777777" w:rsidR="00655FB8" w:rsidRPr="008927B0" w:rsidRDefault="00655FB8" w:rsidP="00655FB8">
      <w:pPr>
        <w:pStyle w:val="Balk2"/>
        <w:spacing w:before="299" w:after="299"/>
        <w:jc w:val="both"/>
        <w:rPr>
          <w:rFonts w:ascii="Times New Roman" w:eastAsiaTheme="minorEastAsia" w:hAnsi="Times New Roman" w:cs="Times New Roman"/>
          <w:b/>
          <w:bCs/>
          <w:color w:val="auto"/>
          <w:sz w:val="22"/>
          <w:szCs w:val="22"/>
        </w:rPr>
      </w:pPr>
      <w:r w:rsidRPr="008927B0">
        <w:rPr>
          <w:rFonts w:ascii="Times New Roman" w:eastAsiaTheme="minorEastAsia" w:hAnsi="Times New Roman" w:cs="Times New Roman"/>
          <w:b/>
          <w:bCs/>
          <w:color w:val="auto"/>
          <w:sz w:val="22"/>
          <w:szCs w:val="22"/>
        </w:rPr>
        <w:t>Yetki Devri Sonrasında Denetim Kurulmadığında</w:t>
      </w:r>
    </w:p>
    <w:p w14:paraId="2545C5DF"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Yetki devri, modern şirket yapılarında olağan bir uygulama olarak karşımıza çıkmaktadır. Ancak yetki devri yapıldıktan sonra raporlama ve denetim mekanizmalarının kurulmamış olması, ciddi risk doğurmaktadır. Yönetim organları, yetki devriyle sorumluluktan tamamen kurtulmamaktadır.</w:t>
      </w:r>
    </w:p>
    <w:p w14:paraId="00C4C97E"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lastRenderedPageBreak/>
        <w:t xml:space="preserve">Yetkiyi kullanan kişinin işlemleri denetlenmediğinde, hatalı veya şirket menfaatine aykırı işlemler geç fark edilmektedir. Bu durumda zararın doğması </w:t>
      </w:r>
      <w:proofErr w:type="gramStart"/>
      <w:r w:rsidRPr="008927B0">
        <w:rPr>
          <w:rFonts w:ascii="Times New Roman" w:eastAsiaTheme="minorEastAsia" w:hAnsi="Times New Roman" w:cs="Times New Roman"/>
          <w:sz w:val="22"/>
          <w:szCs w:val="22"/>
        </w:rPr>
        <w:t>hâlinde,</w:t>
      </w:r>
      <w:proofErr w:type="gramEnd"/>
      <w:r w:rsidRPr="008927B0">
        <w:rPr>
          <w:rFonts w:ascii="Times New Roman" w:eastAsiaTheme="minorEastAsia" w:hAnsi="Times New Roman" w:cs="Times New Roman"/>
          <w:sz w:val="22"/>
          <w:szCs w:val="22"/>
        </w:rPr>
        <w:t xml:space="preserve"> hem yetkiyi devreden hem yetkiyi kullanan taraf sorumlulukla karşı karşıya kalabilmektedir.</w:t>
      </w:r>
    </w:p>
    <w:p w14:paraId="18729335"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Bu nedenle yetki devri, düzenli raporlama ve izleme yükümlülükleriyle birlikte kurgulanmaktadır.</w:t>
      </w:r>
    </w:p>
    <w:p w14:paraId="7E862713" w14:textId="77777777" w:rsidR="00655FB8" w:rsidRPr="008927B0" w:rsidRDefault="00655FB8" w:rsidP="00655FB8">
      <w:pPr>
        <w:pStyle w:val="Balk2"/>
        <w:spacing w:before="299" w:after="299"/>
        <w:jc w:val="both"/>
        <w:rPr>
          <w:rFonts w:ascii="Times New Roman" w:eastAsiaTheme="minorEastAsia" w:hAnsi="Times New Roman" w:cs="Times New Roman"/>
          <w:b/>
          <w:bCs/>
          <w:color w:val="auto"/>
          <w:sz w:val="22"/>
          <w:szCs w:val="22"/>
        </w:rPr>
      </w:pPr>
      <w:r w:rsidRPr="008927B0">
        <w:rPr>
          <w:rFonts w:ascii="Times New Roman" w:eastAsiaTheme="minorEastAsia" w:hAnsi="Times New Roman" w:cs="Times New Roman"/>
          <w:b/>
          <w:bCs/>
          <w:color w:val="auto"/>
          <w:sz w:val="22"/>
          <w:szCs w:val="22"/>
        </w:rPr>
        <w:t>Unvan, Görev ve Yetki Uyumsuzluğu</w:t>
      </w:r>
    </w:p>
    <w:p w14:paraId="7B9612E6"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Hukuki riskin en zor fark edilen alanlarından biri, unvan, fiili görev ve hukuki yetkilendirme arasındaki uyumsuzluktur. Şirket içinde belirli bir unvanla hareket eden kişinin, ticaret sicilinde bu unvana karşılık gelen yetkisinin bulunmaması durumunda temsil sorunu ortaya çıkmaktadır.</w:t>
      </w:r>
    </w:p>
    <w:p w14:paraId="4760080D"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Üçüncü kişiler açısından temsil varmış gibi bir görünüm oluşmaktadır. Buna karşılık şirket açısından yetkisiz temsil ve sorumluluk riski doğmaktadır. Bu durum, uyuşmazlık anında şirket aleyhine ciddi sonuçlar üretmektedir.</w:t>
      </w:r>
    </w:p>
    <w:p w14:paraId="4A21B65C"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Bu nedenle unvan kullanımının mutlaka hukuki yetkilendirme ile desteklenmesi gerekmektedir.</w:t>
      </w:r>
    </w:p>
    <w:p w14:paraId="0A5DC6E2" w14:textId="77777777" w:rsidR="00655FB8" w:rsidRPr="008927B0" w:rsidRDefault="00655FB8" w:rsidP="00655FB8">
      <w:pPr>
        <w:pStyle w:val="Balk2"/>
        <w:spacing w:before="299" w:after="299"/>
        <w:jc w:val="both"/>
        <w:rPr>
          <w:rFonts w:ascii="Times New Roman" w:eastAsiaTheme="minorEastAsia" w:hAnsi="Times New Roman" w:cs="Times New Roman"/>
          <w:b/>
          <w:bCs/>
          <w:color w:val="auto"/>
          <w:sz w:val="22"/>
          <w:szCs w:val="22"/>
        </w:rPr>
      </w:pPr>
      <w:r w:rsidRPr="008927B0">
        <w:rPr>
          <w:rFonts w:ascii="Times New Roman" w:eastAsiaTheme="minorEastAsia" w:hAnsi="Times New Roman" w:cs="Times New Roman"/>
          <w:b/>
          <w:bCs/>
          <w:color w:val="auto"/>
          <w:sz w:val="22"/>
          <w:szCs w:val="22"/>
        </w:rPr>
        <w:t>Riskin Başladığı Nokta ve Yol Haritası</w:t>
      </w:r>
    </w:p>
    <w:p w14:paraId="4AA38F50"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Yetki ve imza yapısındaki hukuki risk, belge ile uygulama arasındaki bağın koptuğu anda ortaya çıkmaktadır. Ticaret sicili kayıtları, imza sirküleri, iç yönergeler ve fiili iş yapma biçimi arasında kurulan uyum zayıfladığında, yetki ve imza yapısı risk üretmeye başlamaktadır.</w:t>
      </w:r>
    </w:p>
    <w:p w14:paraId="7FBDC747"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Yol gösterici bir yaklaşım olarak şirketlerin;</w:t>
      </w:r>
    </w:p>
    <w:p w14:paraId="2E92D91E" w14:textId="77777777" w:rsidR="00655FB8" w:rsidRPr="008927B0" w:rsidRDefault="00655FB8" w:rsidP="00655FB8">
      <w:pPr>
        <w:pStyle w:val="ListeParagraf"/>
        <w:numPr>
          <w:ilvl w:val="0"/>
          <w:numId w:val="3"/>
        </w:numPr>
        <w:spacing w:before="240" w:after="240" w:line="279" w:lineRule="auto"/>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yetki belgelerini düzenli biçimde güncellemesi,</w:t>
      </w:r>
    </w:p>
    <w:p w14:paraId="52A02425" w14:textId="77777777" w:rsidR="00655FB8" w:rsidRPr="008927B0" w:rsidRDefault="00655FB8" w:rsidP="00655FB8">
      <w:pPr>
        <w:pStyle w:val="ListeParagraf"/>
        <w:numPr>
          <w:ilvl w:val="0"/>
          <w:numId w:val="3"/>
        </w:numPr>
        <w:spacing w:before="240" w:after="240" w:line="279" w:lineRule="auto"/>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imza uygulamalarını fiili süreçlerle uyumlu hâle getirmesi,</w:t>
      </w:r>
    </w:p>
    <w:p w14:paraId="64978DE2" w14:textId="77777777" w:rsidR="00655FB8" w:rsidRPr="008927B0" w:rsidRDefault="00655FB8" w:rsidP="00655FB8">
      <w:pPr>
        <w:pStyle w:val="ListeParagraf"/>
        <w:numPr>
          <w:ilvl w:val="0"/>
          <w:numId w:val="3"/>
        </w:numPr>
        <w:spacing w:before="240" w:after="240" w:line="279" w:lineRule="auto"/>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yetki devri sonrası denetim mekanizmalarını kurması,</w:t>
      </w:r>
    </w:p>
    <w:p w14:paraId="252B0D44" w14:textId="77777777" w:rsidR="00655FB8" w:rsidRPr="008927B0" w:rsidRDefault="00655FB8" w:rsidP="00655FB8">
      <w:pPr>
        <w:pStyle w:val="ListeParagraf"/>
        <w:numPr>
          <w:ilvl w:val="0"/>
          <w:numId w:val="3"/>
        </w:numPr>
        <w:spacing w:before="240" w:after="240" w:line="279" w:lineRule="auto"/>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grup şirketlerinde temsil sınırlarını netleştirmesi</w:t>
      </w:r>
    </w:p>
    <w:p w14:paraId="7FA8AE55"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gerekmektedir.</w:t>
      </w:r>
    </w:p>
    <w:p w14:paraId="053501C5" w14:textId="77777777" w:rsidR="00655FB8" w:rsidRPr="008927B0" w:rsidRDefault="00655FB8" w:rsidP="00655FB8">
      <w:pPr>
        <w:spacing w:before="240" w:after="240"/>
        <w:jc w:val="both"/>
        <w:rPr>
          <w:rFonts w:ascii="Times New Roman" w:eastAsiaTheme="minorEastAsia" w:hAnsi="Times New Roman" w:cs="Times New Roman"/>
          <w:sz w:val="22"/>
          <w:szCs w:val="22"/>
        </w:rPr>
      </w:pPr>
      <w:r w:rsidRPr="008927B0">
        <w:rPr>
          <w:rFonts w:ascii="Times New Roman" w:eastAsiaTheme="minorEastAsia" w:hAnsi="Times New Roman" w:cs="Times New Roman"/>
          <w:sz w:val="22"/>
          <w:szCs w:val="22"/>
        </w:rPr>
        <w:t>Bu adımlar, yetki ve imza yapısının hukuki risk üretmesini engelleyen temel koruma alanlarını oluşturmaktadır.</w:t>
      </w:r>
    </w:p>
    <w:p w14:paraId="37D9FED1" w14:textId="77777777" w:rsidR="00655FB8" w:rsidRPr="008927B0" w:rsidRDefault="00655FB8">
      <w:pPr>
        <w:rPr>
          <w:rFonts w:ascii="Times New Roman" w:hAnsi="Times New Roman" w:cs="Times New Roman"/>
          <w:b/>
          <w:bCs/>
          <w:sz w:val="22"/>
          <w:szCs w:val="22"/>
        </w:rPr>
      </w:pPr>
    </w:p>
    <w:p w14:paraId="5201C382" w14:textId="38737BB8" w:rsidR="00655FB8" w:rsidRPr="008927B0" w:rsidRDefault="00517A85" w:rsidP="00517A85">
      <w:pPr>
        <w:jc w:val="right"/>
        <w:rPr>
          <w:rFonts w:ascii="Times New Roman" w:hAnsi="Times New Roman" w:cs="Times New Roman"/>
          <w:b/>
          <w:bCs/>
          <w:sz w:val="22"/>
          <w:szCs w:val="22"/>
        </w:rPr>
      </w:pPr>
      <w:r>
        <w:rPr>
          <w:rFonts w:ascii="Times New Roman" w:hAnsi="Times New Roman" w:cs="Times New Roman"/>
          <w:b/>
          <w:bCs/>
          <w:sz w:val="22"/>
          <w:szCs w:val="22"/>
        </w:rPr>
        <w:t>ARALIK 2025</w:t>
      </w:r>
    </w:p>
    <w:p w14:paraId="30361879" w14:textId="3C4DE7CD" w:rsidR="00811522" w:rsidRPr="008927B0" w:rsidRDefault="005B378C" w:rsidP="00B57C6C">
      <w:pPr>
        <w:pStyle w:val="ListeParagraf"/>
        <w:numPr>
          <w:ilvl w:val="0"/>
          <w:numId w:val="2"/>
        </w:numPr>
        <w:rPr>
          <w:rFonts w:ascii="Times New Roman" w:hAnsi="Times New Roman" w:cs="Times New Roman"/>
          <w:b/>
          <w:bCs/>
          <w:sz w:val="22"/>
          <w:szCs w:val="22"/>
        </w:rPr>
      </w:pPr>
      <w:r w:rsidRPr="008927B0">
        <w:rPr>
          <w:rFonts w:ascii="Times New Roman" w:hAnsi="Times New Roman" w:cs="Times New Roman"/>
          <w:b/>
          <w:bCs/>
          <w:sz w:val="22"/>
          <w:szCs w:val="22"/>
        </w:rPr>
        <w:t xml:space="preserve">KURUMSAL HUKUK SERİSİ #6 TİCARİ ALACAKLARDA EN SIK YAPILAN 3 HUKUKİ HATA </w:t>
      </w:r>
    </w:p>
    <w:p w14:paraId="657ADEEF" w14:textId="77777777" w:rsidR="00811522" w:rsidRPr="008927B0" w:rsidRDefault="00811522" w:rsidP="00811522">
      <w:pPr>
        <w:jc w:val="both"/>
        <w:rPr>
          <w:rFonts w:ascii="Times New Roman" w:hAnsi="Times New Roman" w:cs="Times New Roman"/>
          <w:b/>
          <w:bCs/>
          <w:sz w:val="22"/>
          <w:szCs w:val="22"/>
        </w:rPr>
      </w:pPr>
      <w:r w:rsidRPr="008927B0">
        <w:rPr>
          <w:rFonts w:ascii="Times New Roman" w:hAnsi="Times New Roman" w:cs="Times New Roman"/>
          <w:b/>
          <w:bCs/>
          <w:sz w:val="22"/>
          <w:szCs w:val="22"/>
        </w:rPr>
        <w:t>Giriş</w:t>
      </w:r>
    </w:p>
    <w:p w14:paraId="35C7741B"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Ticari ilişkilerde doğan alacakların etkin bir şekilde yönetilmemesi, işletmeler için ciddi finansal ve hukuki riskler yaratmaktadır.</w:t>
      </w:r>
    </w:p>
    <w:p w14:paraId="3FBDFE42"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Birçok uyuşmazlık, hatalı sözleşme düzenlemeleri, eksik delil oluşturma süreçleri ve yanlış tahsilat yöntemlerinden kaynaklanmaktadır.</w:t>
      </w:r>
    </w:p>
    <w:p w14:paraId="76D00AA2"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lastRenderedPageBreak/>
        <w:t>Bu nedenle ticari alacak yönetimi, yalnızca finansal bir konu değil; doğru hukuki yapı kurulmasını gerektiren kritik bir süreç olarak ele alınmaktadır.</w:t>
      </w:r>
    </w:p>
    <w:p w14:paraId="2634CED5" w14:textId="77777777" w:rsidR="00811522" w:rsidRPr="008927B0" w:rsidRDefault="00811522" w:rsidP="00811522">
      <w:pPr>
        <w:jc w:val="both"/>
        <w:rPr>
          <w:rFonts w:ascii="Times New Roman" w:hAnsi="Times New Roman" w:cs="Times New Roman"/>
          <w:sz w:val="22"/>
          <w:szCs w:val="22"/>
        </w:rPr>
      </w:pPr>
    </w:p>
    <w:p w14:paraId="52EF7D19" w14:textId="77777777" w:rsidR="00811522" w:rsidRPr="008927B0" w:rsidRDefault="00811522" w:rsidP="00811522">
      <w:pPr>
        <w:jc w:val="both"/>
        <w:rPr>
          <w:rFonts w:ascii="Times New Roman" w:hAnsi="Times New Roman" w:cs="Times New Roman"/>
          <w:b/>
          <w:bCs/>
          <w:sz w:val="22"/>
          <w:szCs w:val="22"/>
        </w:rPr>
      </w:pPr>
      <w:r w:rsidRPr="008927B0">
        <w:rPr>
          <w:rFonts w:ascii="Times New Roman" w:hAnsi="Times New Roman" w:cs="Times New Roman"/>
          <w:b/>
          <w:bCs/>
          <w:sz w:val="22"/>
          <w:szCs w:val="22"/>
        </w:rPr>
        <w:t>Hata 1: Sözleşmelerin Eksik veya Yanlış Düzenlenmesi</w:t>
      </w:r>
    </w:p>
    <w:p w14:paraId="489EF901"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Ticari alacak uyuşmazlıklarının büyük bölümü, taraflar arasında kurulan sözleşmelerin eksik veya belirsiz hazırlanmasından kaynaklanmaktadır.</w:t>
      </w:r>
    </w:p>
    <w:p w14:paraId="15C37BCD"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Teslim şartları, ödeme vadeleri, gecikme faizi, temerrüt koşulları ve yetkili mahkeme hükümlerinin net ifade edilmemesi ilerleyen aşamalarda şirketlerin ciddi kayıplar yaşamasına neden olmaktadır.</w:t>
      </w:r>
    </w:p>
    <w:p w14:paraId="07711230"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Sözlü anlaşmalarla işlem yapılması veya internet üzerinden gönderilen teyit mesajlarının “sözleşme yerine geçtiği” yanılgısı da sık karşılaşılan bir durum olmakta ve uyuşmazlık süreçlerini uzatmaktadır.</w:t>
      </w:r>
    </w:p>
    <w:p w14:paraId="17D35D15"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Bu nedenle ticari sözleşmelerin Türk Ticaret Kanunu (TTK) ve Borçlar Kanunu (BK) hükümlerine uygun şekilde, açık ve kapsamlı olarak düzenlenmesi büyük önem taşımaktadır</w:t>
      </w:r>
    </w:p>
    <w:p w14:paraId="22A6B776" w14:textId="77777777" w:rsidR="00811522" w:rsidRPr="008927B0" w:rsidRDefault="00811522" w:rsidP="00811522">
      <w:pPr>
        <w:jc w:val="both"/>
        <w:rPr>
          <w:rFonts w:ascii="Times New Roman" w:hAnsi="Times New Roman" w:cs="Times New Roman"/>
          <w:sz w:val="22"/>
          <w:szCs w:val="22"/>
        </w:rPr>
      </w:pPr>
    </w:p>
    <w:p w14:paraId="70D8F29F" w14:textId="77777777" w:rsidR="00811522" w:rsidRPr="008927B0" w:rsidRDefault="00811522" w:rsidP="00811522">
      <w:pPr>
        <w:jc w:val="both"/>
        <w:rPr>
          <w:rFonts w:ascii="Times New Roman" w:hAnsi="Times New Roman" w:cs="Times New Roman"/>
          <w:b/>
          <w:bCs/>
          <w:sz w:val="22"/>
          <w:szCs w:val="22"/>
        </w:rPr>
      </w:pPr>
      <w:r w:rsidRPr="008927B0">
        <w:rPr>
          <w:rFonts w:ascii="Times New Roman" w:hAnsi="Times New Roman" w:cs="Times New Roman"/>
          <w:b/>
          <w:bCs/>
          <w:sz w:val="22"/>
          <w:szCs w:val="22"/>
        </w:rPr>
        <w:t>Hata 2: Açık ve Güçlü Bir Delil Altyapısının Oluşturulmaması</w:t>
      </w:r>
    </w:p>
    <w:p w14:paraId="4DE0A5E9"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Ticari alacakların tahsilinde en belirleyici unsur, delil altyapısının eksiksiz oluşturulmasıdır.</w:t>
      </w:r>
    </w:p>
    <w:p w14:paraId="3E49C811"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Fatura tebliğinin ispatı, teslimin gerçekleştiğine ilişkin belgeler, yazılı onaylar, sevk irsaliyeleri, cari mutabakat kayıtları ve ticari defterlerin düzenli tutulması alacak takibinin temelini oluşturmaktadır.</w:t>
      </w:r>
    </w:p>
    <w:p w14:paraId="2F8D07A6"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Ancak birçok işletme, teslim belgelerinde imza eksikliği, elektronik yazışmaların arşivlenmemesi veya mutabakatların düzenli yapılmaması gibi nedenlerle dava süreçlerinde ispat sorunları yaratmaktadır.</w:t>
      </w:r>
    </w:p>
    <w:p w14:paraId="506B2C1E"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Bu durum, haklı olunan bir alacağın dahi tahsil edilememesine yol açabilmektedir.</w:t>
      </w:r>
    </w:p>
    <w:p w14:paraId="3A88594F" w14:textId="77777777" w:rsidR="00811522" w:rsidRPr="008927B0" w:rsidRDefault="00811522" w:rsidP="00811522">
      <w:pPr>
        <w:jc w:val="both"/>
        <w:rPr>
          <w:rFonts w:ascii="Times New Roman" w:hAnsi="Times New Roman" w:cs="Times New Roman"/>
          <w:sz w:val="22"/>
          <w:szCs w:val="22"/>
        </w:rPr>
      </w:pPr>
    </w:p>
    <w:p w14:paraId="1BD70072" w14:textId="77777777" w:rsidR="00811522" w:rsidRPr="008927B0" w:rsidRDefault="00811522" w:rsidP="00811522">
      <w:pPr>
        <w:jc w:val="both"/>
        <w:rPr>
          <w:rFonts w:ascii="Times New Roman" w:hAnsi="Times New Roman" w:cs="Times New Roman"/>
          <w:b/>
          <w:bCs/>
          <w:sz w:val="22"/>
          <w:szCs w:val="22"/>
        </w:rPr>
      </w:pPr>
      <w:r w:rsidRPr="008927B0">
        <w:rPr>
          <w:rFonts w:ascii="Times New Roman" w:hAnsi="Times New Roman" w:cs="Times New Roman"/>
          <w:b/>
          <w:bCs/>
          <w:sz w:val="22"/>
          <w:szCs w:val="22"/>
        </w:rPr>
        <w:t>Hata 3: Tahsilat Sürecinin Yanlış veya Geç Başlatılması</w:t>
      </w:r>
    </w:p>
    <w:p w14:paraId="2238D99A"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Ticari alacak yönetiminde en kritik hatalardan biri, tahsilat sürecine zamanında ve doğru yöntemle başlanmamasıdır.</w:t>
      </w:r>
    </w:p>
    <w:p w14:paraId="7A00A7A8"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Geciken ihtarnameler, eksik hukuki bildirimler, yanlış icra yolu seçimi veya dava açma süresinin geçirilmesi işletmelerin alacaklarını kaybetmesine neden olmaktadır.</w:t>
      </w:r>
    </w:p>
    <w:p w14:paraId="062CD983"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Ayrıca borçlu ile yapılan uzlaşma görüşmelerinin hukuki kayıt altına alınmaması, ilerleyen aşamalarda tarafların iddialarını destekleyecek delillerin yokluğuna yol açabilmektedir.</w:t>
      </w:r>
    </w:p>
    <w:p w14:paraId="01A12546"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Tahsilat sürecinin profesyonel bir hukuk altyapısıyla yürütülmesi hem süreci hızlandırmakta hem de alacağın güvenli şekilde korunmasını sağlamaktadır.</w:t>
      </w:r>
    </w:p>
    <w:p w14:paraId="1E1FA820" w14:textId="77777777" w:rsidR="00811522" w:rsidRPr="008927B0" w:rsidRDefault="00811522" w:rsidP="00811522">
      <w:pPr>
        <w:jc w:val="both"/>
        <w:rPr>
          <w:rFonts w:ascii="Times New Roman" w:hAnsi="Times New Roman" w:cs="Times New Roman"/>
          <w:sz w:val="22"/>
          <w:szCs w:val="22"/>
        </w:rPr>
      </w:pPr>
    </w:p>
    <w:p w14:paraId="3F81A838" w14:textId="77777777" w:rsidR="00811522" w:rsidRPr="008927B0" w:rsidRDefault="00811522" w:rsidP="00811522">
      <w:pPr>
        <w:jc w:val="both"/>
        <w:rPr>
          <w:rFonts w:ascii="Times New Roman" w:hAnsi="Times New Roman" w:cs="Times New Roman"/>
          <w:b/>
          <w:bCs/>
          <w:sz w:val="22"/>
          <w:szCs w:val="22"/>
        </w:rPr>
      </w:pPr>
      <w:r w:rsidRPr="008927B0">
        <w:rPr>
          <w:rFonts w:ascii="Times New Roman" w:hAnsi="Times New Roman" w:cs="Times New Roman"/>
          <w:b/>
          <w:bCs/>
          <w:sz w:val="22"/>
          <w:szCs w:val="22"/>
        </w:rPr>
        <w:t>Son Değerlendirme</w:t>
      </w:r>
    </w:p>
    <w:p w14:paraId="6C1F5474"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Ticari alacakların güvenli şekilde yönetilmesi; sağlam sözleşmelerin hazırlanmasını, delil altyapısının titizlikle oluşturulmasını ve tahsilat sürecinin hukuka uygun biçimde işletilmesini gerektirmektedir.</w:t>
      </w:r>
    </w:p>
    <w:p w14:paraId="08F7E213"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lastRenderedPageBreak/>
        <w:t>Bu süreçlerin doğru yürütülmemesi, işletmeler için yüksek maliyetli sonuçlar doğurabilmekte ve ticari ilişkilerin sürdürülebilirliğini zayıflatabilmektedir.</w:t>
      </w:r>
    </w:p>
    <w:p w14:paraId="28A8B72A" w14:textId="77777777" w:rsidR="00811522" w:rsidRPr="008927B0" w:rsidRDefault="00811522" w:rsidP="00811522">
      <w:pPr>
        <w:jc w:val="both"/>
        <w:rPr>
          <w:rFonts w:ascii="Times New Roman" w:hAnsi="Times New Roman" w:cs="Times New Roman"/>
          <w:sz w:val="22"/>
          <w:szCs w:val="22"/>
        </w:rPr>
      </w:pPr>
      <w:r w:rsidRPr="008927B0">
        <w:rPr>
          <w:rFonts w:ascii="Times New Roman" w:hAnsi="Times New Roman" w:cs="Times New Roman"/>
          <w:sz w:val="22"/>
          <w:szCs w:val="22"/>
        </w:rPr>
        <w:t>Profesyonel hukuki destekle ilerlenen alacak yönetimi süreçleri, şirketlerin finansal risklerini azaltmakta ve ticari ilişkilerini daha güvenli bir zemine taşımaktadır.</w:t>
      </w:r>
    </w:p>
    <w:p w14:paraId="33E80FE2" w14:textId="77777777" w:rsidR="00465A71" w:rsidRPr="008927B0" w:rsidRDefault="00465A71" w:rsidP="00517A85">
      <w:pPr>
        <w:rPr>
          <w:rFonts w:ascii="Times New Roman" w:hAnsi="Times New Roman" w:cs="Times New Roman"/>
          <w:b/>
          <w:bCs/>
          <w:sz w:val="22"/>
          <w:szCs w:val="22"/>
        </w:rPr>
      </w:pPr>
    </w:p>
    <w:p w14:paraId="6C2A0E7C" w14:textId="75FD1209" w:rsidR="00465A71" w:rsidRPr="005E39B2" w:rsidRDefault="00F81728" w:rsidP="00517A85">
      <w:pPr>
        <w:ind w:left="360"/>
        <w:jc w:val="right"/>
        <w:rPr>
          <w:rFonts w:ascii="Times New Roman" w:hAnsi="Times New Roman" w:cs="Times New Roman"/>
          <w:b/>
          <w:bCs/>
          <w:sz w:val="22"/>
          <w:szCs w:val="22"/>
        </w:rPr>
      </w:pPr>
      <w:r>
        <w:rPr>
          <w:rFonts w:ascii="Times New Roman" w:hAnsi="Times New Roman" w:cs="Times New Roman"/>
          <w:b/>
          <w:bCs/>
          <w:sz w:val="22"/>
          <w:szCs w:val="22"/>
        </w:rPr>
        <w:t>OCAK 2026</w:t>
      </w:r>
    </w:p>
    <w:p w14:paraId="500AF15C" w14:textId="73C2616A" w:rsidR="00581A36" w:rsidRPr="005E39B2" w:rsidRDefault="00581A36" w:rsidP="00581A36">
      <w:pPr>
        <w:pStyle w:val="ListeParagraf"/>
        <w:numPr>
          <w:ilvl w:val="0"/>
          <w:numId w:val="2"/>
        </w:numPr>
        <w:tabs>
          <w:tab w:val="left" w:pos="-142"/>
          <w:tab w:val="left" w:pos="284"/>
          <w:tab w:val="num" w:pos="426"/>
        </w:tabs>
        <w:spacing w:after="0"/>
        <w:jc w:val="both"/>
        <w:rPr>
          <w:rFonts w:ascii="Times New Roman" w:hAnsi="Times New Roman" w:cs="Times New Roman"/>
          <w:b/>
          <w:bCs/>
          <w:sz w:val="22"/>
          <w:szCs w:val="22"/>
        </w:rPr>
      </w:pPr>
      <w:r w:rsidRPr="005E39B2">
        <w:rPr>
          <w:rFonts w:ascii="Times New Roman" w:hAnsi="Times New Roman" w:cs="Times New Roman"/>
          <w:b/>
          <w:bCs/>
          <w:sz w:val="22"/>
          <w:szCs w:val="22"/>
        </w:rPr>
        <w:t>KURUMSAL HUKUK SERİSİ #11 SÖZLEŞME İHLALİ DURUMUNDA HANGİ ADIMLAR İZLENMELİ?</w:t>
      </w:r>
    </w:p>
    <w:p w14:paraId="1470D1C0" w14:textId="77777777" w:rsidR="00CA7FD1" w:rsidRPr="008927B0" w:rsidRDefault="00CA7FD1" w:rsidP="00CA7FD1">
      <w:pPr>
        <w:ind w:left="360"/>
        <w:rPr>
          <w:rFonts w:ascii="Times New Roman" w:hAnsi="Times New Roman" w:cs="Times New Roman"/>
          <w:b/>
          <w:bCs/>
          <w:sz w:val="22"/>
          <w:szCs w:val="22"/>
        </w:rPr>
      </w:pPr>
    </w:p>
    <w:p w14:paraId="77CC585C" w14:textId="77777777" w:rsidR="00CA7FD1" w:rsidRPr="008927B0" w:rsidRDefault="00CA7FD1" w:rsidP="00CA7FD1">
      <w:pPr>
        <w:jc w:val="both"/>
        <w:rPr>
          <w:rFonts w:ascii="Times New Roman" w:hAnsi="Times New Roman" w:cs="Times New Roman"/>
          <w:b/>
          <w:bCs/>
          <w:sz w:val="22"/>
          <w:szCs w:val="22"/>
        </w:rPr>
      </w:pPr>
      <w:r w:rsidRPr="008927B0">
        <w:rPr>
          <w:rFonts w:ascii="Times New Roman" w:hAnsi="Times New Roman" w:cs="Times New Roman"/>
          <w:b/>
          <w:bCs/>
          <w:sz w:val="22"/>
          <w:szCs w:val="22"/>
        </w:rPr>
        <w:t>Giriş</w:t>
      </w:r>
    </w:p>
    <w:p w14:paraId="7566A958"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Bir sözleşme ilişkisinde ihlal iddiası gündeme geldiğinde sürecin rastgele değil, belirli bir sıra içinde ele alınması gerekir.</w:t>
      </w:r>
    </w:p>
    <w:p w14:paraId="7E7B92C5"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İlk olarak taraflar arasındaki ilişkinin hâlen geçerli bir sözleşmeye dayanıp dayanmadığı ve sözleşmenin yürürlükte olup olmadığı tespit edilmelidir.</w:t>
      </w:r>
    </w:p>
    <w:p w14:paraId="65BA8EDE"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Süresi sona ermiş, feshedilmiş veya askıya alınmış bir sözleşmeye dayanılarak yapılan değerlendirmeler hukuki belirsizlik yaratır.</w:t>
      </w:r>
    </w:p>
    <w:p w14:paraId="4107CBDE"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Bu nedenle sağlıklı bir ihlal analizi, sözleşmenin varlığı ve geçerliliğinin netleştirilmesiyle başlar.</w:t>
      </w:r>
    </w:p>
    <w:p w14:paraId="6324C8BB" w14:textId="77777777" w:rsidR="00CA7FD1" w:rsidRPr="008927B0" w:rsidRDefault="00CA7FD1" w:rsidP="00CA7FD1">
      <w:pPr>
        <w:jc w:val="both"/>
        <w:rPr>
          <w:rFonts w:ascii="Times New Roman" w:hAnsi="Times New Roman" w:cs="Times New Roman"/>
          <w:sz w:val="22"/>
          <w:szCs w:val="22"/>
        </w:rPr>
      </w:pPr>
    </w:p>
    <w:p w14:paraId="153599E8" w14:textId="77777777" w:rsidR="00CA7FD1" w:rsidRPr="008927B0" w:rsidRDefault="00CA7FD1" w:rsidP="00CA7FD1">
      <w:pPr>
        <w:jc w:val="both"/>
        <w:rPr>
          <w:rFonts w:ascii="Times New Roman" w:hAnsi="Times New Roman" w:cs="Times New Roman"/>
          <w:b/>
          <w:bCs/>
          <w:sz w:val="22"/>
          <w:szCs w:val="22"/>
        </w:rPr>
      </w:pPr>
      <w:r w:rsidRPr="008927B0">
        <w:rPr>
          <w:rFonts w:ascii="Times New Roman" w:hAnsi="Times New Roman" w:cs="Times New Roman"/>
          <w:b/>
          <w:bCs/>
          <w:sz w:val="22"/>
          <w:szCs w:val="22"/>
        </w:rPr>
        <w:t>Yükümlülüğün Belirlenmesi</w:t>
      </w:r>
    </w:p>
    <w:p w14:paraId="445E294E"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İhlal iddiasının dayanağını oluşturan yükümlülüğün sözleşme metninde açıkça yer alması gerekir. Hangi edimin, hangi tarafça, hangi süre ve koşullar altında yerine getirileceği sözleşme hükümleri üzerinden belirlenmelidir.</w:t>
      </w:r>
    </w:p>
    <w:p w14:paraId="6B636EDF"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Sözleşmede düzenlenmeyen beklentiler veya teamüle dayalı varsayımlar ihlal değerlendirmesinde esas alınamaz.</w:t>
      </w:r>
    </w:p>
    <w:p w14:paraId="60A16389"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Bu kapsamda, sözleşme hükümleri lafzi yorumun yanı sıra amaçsal ve sistematik yorum yöntemleri kullanılarak değerlendirilmelidir. Yükümlülüğün kapsamı netleşmediği sürece ihlal iddiası hukuki açıdan tartışmalı kalır.</w:t>
      </w:r>
    </w:p>
    <w:p w14:paraId="2A7468CB" w14:textId="77777777" w:rsidR="00CA7FD1" w:rsidRPr="008927B0" w:rsidRDefault="00CA7FD1" w:rsidP="00CA7FD1">
      <w:pPr>
        <w:jc w:val="both"/>
        <w:rPr>
          <w:rFonts w:ascii="Times New Roman" w:hAnsi="Times New Roman" w:cs="Times New Roman"/>
          <w:sz w:val="22"/>
          <w:szCs w:val="22"/>
        </w:rPr>
      </w:pPr>
    </w:p>
    <w:p w14:paraId="4EE50E69" w14:textId="77777777" w:rsidR="00CA7FD1" w:rsidRPr="008927B0" w:rsidRDefault="00CA7FD1" w:rsidP="00CA7FD1">
      <w:pPr>
        <w:jc w:val="both"/>
        <w:rPr>
          <w:rFonts w:ascii="Times New Roman" w:hAnsi="Times New Roman" w:cs="Times New Roman"/>
          <w:b/>
          <w:bCs/>
          <w:sz w:val="22"/>
          <w:szCs w:val="22"/>
        </w:rPr>
      </w:pPr>
      <w:r w:rsidRPr="008927B0">
        <w:rPr>
          <w:rFonts w:ascii="Times New Roman" w:hAnsi="Times New Roman" w:cs="Times New Roman"/>
          <w:b/>
          <w:bCs/>
          <w:sz w:val="22"/>
          <w:szCs w:val="22"/>
        </w:rPr>
        <w:t>İhlalin Niteliğinin Değerlendirilmesi</w:t>
      </w:r>
    </w:p>
    <w:p w14:paraId="4466A3BE"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Sözleşmeye aykırı her davranış otomatik olarak ihlal sonucunu doğurmaz.</w:t>
      </w:r>
    </w:p>
    <w:p w14:paraId="30A48272"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İhlalin sözleşmenin asli edimini mi yoksa tali yükümlülüklerini mi ilgilendirdiği dikkatle değerlendirilmelidir.</w:t>
      </w:r>
    </w:p>
    <w:p w14:paraId="322D21C3"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Asli edime ilişkin ihlaller daha ağır hukuki sonuçlar doğurabilirken, tali ihlaller farklı çözüm yollarını gündeme getirebilir. Bu ayrım yapılırken ihlalin sözleşmenin amacını ortadan kaldırıp kaldırmadığı ve edimler arasındaki dengeyi bozup bozmadığı da dikkate alınmalıdır</w:t>
      </w:r>
    </w:p>
    <w:p w14:paraId="08750139"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Bu ayrım, hangi hukuki adımların atılabileceğini belirleyen temel ölçüttür.</w:t>
      </w:r>
    </w:p>
    <w:p w14:paraId="0BBC90D9" w14:textId="77777777" w:rsidR="00CA7FD1" w:rsidRPr="008927B0" w:rsidRDefault="00CA7FD1" w:rsidP="00CA7FD1">
      <w:pPr>
        <w:jc w:val="both"/>
        <w:rPr>
          <w:rFonts w:ascii="Times New Roman" w:hAnsi="Times New Roman" w:cs="Times New Roman"/>
          <w:sz w:val="22"/>
          <w:szCs w:val="22"/>
        </w:rPr>
      </w:pPr>
    </w:p>
    <w:p w14:paraId="5C0D7D97" w14:textId="77777777" w:rsidR="00CA7FD1" w:rsidRPr="008927B0" w:rsidRDefault="00CA7FD1" w:rsidP="00CA7FD1">
      <w:pPr>
        <w:jc w:val="both"/>
        <w:rPr>
          <w:rFonts w:ascii="Times New Roman" w:hAnsi="Times New Roman" w:cs="Times New Roman"/>
          <w:b/>
          <w:bCs/>
          <w:sz w:val="22"/>
          <w:szCs w:val="22"/>
        </w:rPr>
      </w:pPr>
      <w:r w:rsidRPr="008927B0">
        <w:rPr>
          <w:rFonts w:ascii="Times New Roman" w:hAnsi="Times New Roman" w:cs="Times New Roman"/>
          <w:b/>
          <w:bCs/>
          <w:sz w:val="22"/>
          <w:szCs w:val="22"/>
        </w:rPr>
        <w:t>Delil ve Belgelerin Değerlendirilmesi</w:t>
      </w:r>
    </w:p>
    <w:p w14:paraId="0C9802DE"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İhlal iddiasının soyut beyanlara değil, somut verilere dayanması gerekir.</w:t>
      </w:r>
    </w:p>
    <w:p w14:paraId="3EB2BF89"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Taraflar arasındaki yazışmalar, teslim ve kabul tutanakları, faturalar, ödeme kayıtları ve teknik belgeler birlikte ele alınmalıdır.</w:t>
      </w:r>
    </w:p>
    <w:p w14:paraId="6A6AD025"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 xml:space="preserve">Delil zincirinin eksik veya dağınık olması, haklı bir iddianın dahi ispat edilememesine yol açabilir. Delillerin hukuka uygun şekilde elde edilmiş olması ve usul kurallarına uygun biçimde ileri sürülmesi, ispat yükünün yerine getirilmesi bakımından belirleyicidir </w:t>
      </w:r>
      <w:proofErr w:type="gramStart"/>
      <w:r w:rsidRPr="008927B0">
        <w:rPr>
          <w:rFonts w:ascii="Times New Roman" w:hAnsi="Times New Roman" w:cs="Times New Roman"/>
          <w:sz w:val="22"/>
          <w:szCs w:val="22"/>
        </w:rPr>
        <w:t>Bu</w:t>
      </w:r>
      <w:proofErr w:type="gramEnd"/>
      <w:r w:rsidRPr="008927B0">
        <w:rPr>
          <w:rFonts w:ascii="Times New Roman" w:hAnsi="Times New Roman" w:cs="Times New Roman"/>
          <w:sz w:val="22"/>
          <w:szCs w:val="22"/>
        </w:rPr>
        <w:t xml:space="preserve"> nedenle delillerin hem içerik hem de usul bakımından tutarlı olması önemlidir.</w:t>
      </w:r>
    </w:p>
    <w:p w14:paraId="1EC0126E" w14:textId="77777777" w:rsidR="00CA7FD1" w:rsidRPr="008927B0" w:rsidRDefault="00CA7FD1" w:rsidP="00CA7FD1">
      <w:pPr>
        <w:jc w:val="both"/>
        <w:rPr>
          <w:rFonts w:ascii="Times New Roman" w:hAnsi="Times New Roman" w:cs="Times New Roman"/>
          <w:sz w:val="22"/>
          <w:szCs w:val="22"/>
        </w:rPr>
      </w:pPr>
    </w:p>
    <w:p w14:paraId="498FCA85" w14:textId="77777777" w:rsidR="00CA7FD1" w:rsidRPr="008927B0" w:rsidRDefault="00CA7FD1" w:rsidP="00CA7FD1">
      <w:pPr>
        <w:jc w:val="both"/>
        <w:rPr>
          <w:rFonts w:ascii="Times New Roman" w:hAnsi="Times New Roman" w:cs="Times New Roman"/>
          <w:b/>
          <w:bCs/>
          <w:sz w:val="22"/>
          <w:szCs w:val="22"/>
        </w:rPr>
      </w:pPr>
      <w:r w:rsidRPr="008927B0">
        <w:rPr>
          <w:rFonts w:ascii="Times New Roman" w:hAnsi="Times New Roman" w:cs="Times New Roman"/>
          <w:b/>
          <w:bCs/>
          <w:sz w:val="22"/>
          <w:szCs w:val="22"/>
        </w:rPr>
        <w:t>Karşı Tarafa Bildirim Aşaması</w:t>
      </w:r>
    </w:p>
    <w:p w14:paraId="2C5931E0"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İhlalin karşı tarafa usulüne uygun biçimde bildirilmesi sürecin doğal ve gerekli bir aşamasıdır. Bu bildirim uygulamada ihtar veya temerrüt bildirimi niteliği taşıyabilir ve hukuki sonuçların doğması bakımından belirleyici olabilir.</w:t>
      </w:r>
    </w:p>
    <w:p w14:paraId="74DB24E1"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Bu bildirim, ihlalin hangi hususlara dayandığını ve hangi yükümlülüğün yerine getirilmediğini açıkça ortaya koymalıdır.</w:t>
      </w:r>
    </w:p>
    <w:p w14:paraId="1622C905"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Aynı zamanda karşı tarafa ihlali gidermesi veya edimini tamamlaması için makul bir imkân tanınır.</w:t>
      </w:r>
    </w:p>
    <w:p w14:paraId="4F869344"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Bildirim yapılmadan ilerleyen süreçler, hukuki dayanaktan yoksun kalabilir.</w:t>
      </w:r>
    </w:p>
    <w:p w14:paraId="78CC785C" w14:textId="77777777" w:rsidR="00CA7FD1" w:rsidRPr="008927B0" w:rsidRDefault="00CA7FD1" w:rsidP="00CA7FD1">
      <w:pPr>
        <w:jc w:val="both"/>
        <w:rPr>
          <w:rFonts w:ascii="Times New Roman" w:hAnsi="Times New Roman" w:cs="Times New Roman"/>
          <w:sz w:val="22"/>
          <w:szCs w:val="22"/>
        </w:rPr>
      </w:pPr>
    </w:p>
    <w:p w14:paraId="57324766" w14:textId="77777777" w:rsidR="00CA7FD1" w:rsidRPr="008927B0" w:rsidRDefault="00CA7FD1" w:rsidP="00CA7FD1">
      <w:pPr>
        <w:jc w:val="both"/>
        <w:rPr>
          <w:rFonts w:ascii="Times New Roman" w:hAnsi="Times New Roman" w:cs="Times New Roman"/>
          <w:b/>
          <w:bCs/>
          <w:sz w:val="22"/>
          <w:szCs w:val="22"/>
        </w:rPr>
      </w:pPr>
      <w:r w:rsidRPr="008927B0">
        <w:rPr>
          <w:rFonts w:ascii="Times New Roman" w:hAnsi="Times New Roman" w:cs="Times New Roman"/>
          <w:b/>
          <w:bCs/>
          <w:sz w:val="22"/>
          <w:szCs w:val="22"/>
        </w:rPr>
        <w:t>Sözleşmeden Doğan Hakların Değerlendirilmesi</w:t>
      </w:r>
    </w:p>
    <w:p w14:paraId="3EE9F623"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İhlalin tespiti sonrasında sözleşmede yer alan yaptırım hükümleri birlikte değerlendirilmelidir.</w:t>
      </w:r>
    </w:p>
    <w:p w14:paraId="30946DA3"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Fesih, ceza şartı, tazminat veya ifaya zorlama gibi hakların her biri ihlalin niteliğine göre ele alınmalıdır.</w:t>
      </w:r>
    </w:p>
    <w:p w14:paraId="493EE6A6"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Her ihlal, sözleşmenin sona erdirilmesini gerektirmez ve ölçüsüz yaptırımlar yeni uyuşmazlıklar doğurabilir. Özellikle fesih gibi ağır yaptırımların uygulanmasında son çare (</w:t>
      </w:r>
      <w:proofErr w:type="spellStart"/>
      <w:r w:rsidRPr="008927B0">
        <w:rPr>
          <w:rFonts w:ascii="Times New Roman" w:hAnsi="Times New Roman" w:cs="Times New Roman"/>
          <w:sz w:val="22"/>
          <w:szCs w:val="22"/>
        </w:rPr>
        <w:t>ultima</w:t>
      </w:r>
      <w:proofErr w:type="spellEnd"/>
      <w:r w:rsidRPr="008927B0">
        <w:rPr>
          <w:rFonts w:ascii="Times New Roman" w:hAnsi="Times New Roman" w:cs="Times New Roman"/>
          <w:sz w:val="22"/>
          <w:szCs w:val="22"/>
        </w:rPr>
        <w:t xml:space="preserve"> </w:t>
      </w:r>
      <w:proofErr w:type="spellStart"/>
      <w:r w:rsidRPr="008927B0">
        <w:rPr>
          <w:rFonts w:ascii="Times New Roman" w:hAnsi="Times New Roman" w:cs="Times New Roman"/>
          <w:sz w:val="22"/>
          <w:szCs w:val="22"/>
        </w:rPr>
        <w:t>ratio</w:t>
      </w:r>
      <w:proofErr w:type="spellEnd"/>
      <w:r w:rsidRPr="008927B0">
        <w:rPr>
          <w:rFonts w:ascii="Times New Roman" w:hAnsi="Times New Roman" w:cs="Times New Roman"/>
          <w:sz w:val="22"/>
          <w:szCs w:val="22"/>
        </w:rPr>
        <w:t>) ilkesi göz önünde bulundurulmalıdır.</w:t>
      </w:r>
    </w:p>
    <w:p w14:paraId="0D233F61"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Bu aşamada orantılılık ilkesi hukuki dengenin korunması açısından belirleyicidir.</w:t>
      </w:r>
    </w:p>
    <w:p w14:paraId="1C43343F" w14:textId="77777777" w:rsidR="00CA7FD1" w:rsidRPr="008927B0" w:rsidRDefault="00CA7FD1" w:rsidP="00CA7FD1">
      <w:pPr>
        <w:jc w:val="both"/>
        <w:rPr>
          <w:rFonts w:ascii="Times New Roman" w:hAnsi="Times New Roman" w:cs="Times New Roman"/>
          <w:sz w:val="22"/>
          <w:szCs w:val="22"/>
        </w:rPr>
      </w:pPr>
    </w:p>
    <w:p w14:paraId="59381DB7" w14:textId="77777777" w:rsidR="00CA7FD1" w:rsidRPr="008927B0" w:rsidRDefault="00CA7FD1" w:rsidP="00CA7FD1">
      <w:pPr>
        <w:jc w:val="both"/>
        <w:rPr>
          <w:rFonts w:ascii="Times New Roman" w:hAnsi="Times New Roman" w:cs="Times New Roman"/>
          <w:b/>
          <w:bCs/>
          <w:sz w:val="22"/>
          <w:szCs w:val="22"/>
        </w:rPr>
      </w:pPr>
      <w:r w:rsidRPr="008927B0">
        <w:rPr>
          <w:rFonts w:ascii="Times New Roman" w:hAnsi="Times New Roman" w:cs="Times New Roman"/>
          <w:b/>
          <w:bCs/>
          <w:sz w:val="22"/>
          <w:szCs w:val="22"/>
        </w:rPr>
        <w:t>Uyuşmazlığın Yönetim Biçimi</w:t>
      </w:r>
    </w:p>
    <w:p w14:paraId="58D8E499"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Ortaya çıkan uyuşmazlığın nasıl yönetileceği sürecin en stratejik aşamalarından biridir.</w:t>
      </w:r>
    </w:p>
    <w:p w14:paraId="13C6A9BC"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Taraflar arasındaki ilişki, ticari bağların devamı ve uyuşmazlığın boyutu bu tercihi etkiler.</w:t>
      </w:r>
    </w:p>
    <w:p w14:paraId="476A5734"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Müzakere, uzlaşma veya alternatif çözüm yolları birçok durumda etkili sonuçlar doğurabilir.</w:t>
      </w:r>
    </w:p>
    <w:p w14:paraId="55A051C9"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Bu yöntemlerin seçimi, sürecin hızını ve maliyetini doğrudan etkiler.</w:t>
      </w:r>
    </w:p>
    <w:p w14:paraId="026E7B71" w14:textId="77777777" w:rsidR="00CA7FD1" w:rsidRPr="008927B0" w:rsidRDefault="00CA7FD1" w:rsidP="00CA7FD1">
      <w:pPr>
        <w:jc w:val="both"/>
        <w:rPr>
          <w:rFonts w:ascii="Times New Roman" w:hAnsi="Times New Roman" w:cs="Times New Roman"/>
          <w:sz w:val="22"/>
          <w:szCs w:val="22"/>
        </w:rPr>
      </w:pPr>
    </w:p>
    <w:p w14:paraId="63825559" w14:textId="77777777" w:rsidR="00CA7FD1" w:rsidRPr="008927B0" w:rsidRDefault="00CA7FD1" w:rsidP="00CA7FD1">
      <w:pPr>
        <w:jc w:val="both"/>
        <w:rPr>
          <w:rFonts w:ascii="Times New Roman" w:hAnsi="Times New Roman" w:cs="Times New Roman"/>
          <w:b/>
          <w:bCs/>
          <w:sz w:val="22"/>
          <w:szCs w:val="22"/>
        </w:rPr>
      </w:pPr>
      <w:r w:rsidRPr="008927B0">
        <w:rPr>
          <w:rFonts w:ascii="Times New Roman" w:hAnsi="Times New Roman" w:cs="Times New Roman"/>
          <w:b/>
          <w:bCs/>
          <w:sz w:val="22"/>
          <w:szCs w:val="22"/>
        </w:rPr>
        <w:t>Hukuki Sürecin Başlatılması</w:t>
      </w:r>
    </w:p>
    <w:p w14:paraId="1A111320"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lastRenderedPageBreak/>
        <w:t>Uzlaşma sağlanamaması hâlinde yargısal veya icrai yollar gündeme gelir.</w:t>
      </w:r>
    </w:p>
    <w:p w14:paraId="1C176A4D"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Bu aşamada görevli ve yetkili merciin doğru belirlenmesi büyük önem taşır.</w:t>
      </w:r>
    </w:p>
    <w:p w14:paraId="4955BDE0"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Usule ilişkin yapılacak hatalar, haklı taleplerin dahi reddedilmesine yol açabilir.</w:t>
      </w:r>
    </w:p>
    <w:p w14:paraId="79621329"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Bu nedenle hukuki sürecin planlı ve öngörülü biçimde yürütülmesi gerekir.</w:t>
      </w:r>
    </w:p>
    <w:p w14:paraId="42861577" w14:textId="77777777" w:rsidR="00CA7FD1" w:rsidRPr="008927B0" w:rsidRDefault="00CA7FD1" w:rsidP="00CA7FD1">
      <w:pPr>
        <w:jc w:val="both"/>
        <w:rPr>
          <w:rFonts w:ascii="Times New Roman" w:hAnsi="Times New Roman" w:cs="Times New Roman"/>
          <w:sz w:val="22"/>
          <w:szCs w:val="22"/>
        </w:rPr>
      </w:pPr>
    </w:p>
    <w:p w14:paraId="2CF23C97" w14:textId="77777777" w:rsidR="00CA7FD1" w:rsidRPr="008927B0" w:rsidRDefault="00CA7FD1" w:rsidP="00CA7FD1">
      <w:pPr>
        <w:jc w:val="both"/>
        <w:rPr>
          <w:rFonts w:ascii="Times New Roman" w:hAnsi="Times New Roman" w:cs="Times New Roman"/>
          <w:b/>
          <w:bCs/>
          <w:sz w:val="22"/>
          <w:szCs w:val="22"/>
        </w:rPr>
      </w:pPr>
      <w:r w:rsidRPr="008927B0">
        <w:rPr>
          <w:rFonts w:ascii="Times New Roman" w:hAnsi="Times New Roman" w:cs="Times New Roman"/>
          <w:b/>
          <w:bCs/>
          <w:sz w:val="22"/>
          <w:szCs w:val="22"/>
        </w:rPr>
        <w:t>Genel Değerlendirme</w:t>
      </w:r>
    </w:p>
    <w:p w14:paraId="640B35D5"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Sözleşme ihlali, tek bir işlemden ibaret olmayıp birbirini izleyen adımlardan oluşan bir süreçtir.</w:t>
      </w:r>
    </w:p>
    <w:p w14:paraId="1D1D2970"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Her aşamanın bir önceki değerlendirme üzerine inşa edilmesi hukuki güvenliği güçlendirir.</w:t>
      </w:r>
    </w:p>
    <w:p w14:paraId="02CB673D"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Plansız ve aceleci adımlar, uyuşmazlığı derinleştirebilir ve hak kaybı riskini artırabilir.</w:t>
      </w:r>
    </w:p>
    <w:p w14:paraId="50442F74" w14:textId="77777777" w:rsidR="00CA7FD1" w:rsidRPr="008927B0" w:rsidRDefault="00CA7FD1" w:rsidP="00CA7FD1">
      <w:pPr>
        <w:jc w:val="both"/>
        <w:rPr>
          <w:rFonts w:ascii="Times New Roman" w:hAnsi="Times New Roman" w:cs="Times New Roman"/>
          <w:sz w:val="22"/>
          <w:szCs w:val="22"/>
        </w:rPr>
      </w:pPr>
      <w:r w:rsidRPr="008927B0">
        <w:rPr>
          <w:rFonts w:ascii="Times New Roman" w:hAnsi="Times New Roman" w:cs="Times New Roman"/>
          <w:sz w:val="22"/>
          <w:szCs w:val="22"/>
        </w:rPr>
        <w:t>Sistematik ve bilinçli bir yaklaşım, sözleşme ilişkisinin sağlıklı şekilde yönetilmesine katkı sağlar. Bu yaklaşım hem uyuşmazlıkların etkin şekilde yönetilmesine hem de taraflar arasında hukuki öngörülebilirliğin sağlanmasına hizmet eder</w:t>
      </w:r>
    </w:p>
    <w:p w14:paraId="310A6B8A" w14:textId="77777777" w:rsidR="00CA7FD1" w:rsidRPr="008927B0" w:rsidRDefault="00CA7FD1" w:rsidP="00CA7FD1">
      <w:pPr>
        <w:ind w:left="360"/>
        <w:rPr>
          <w:rFonts w:ascii="Times New Roman" w:hAnsi="Times New Roman" w:cs="Times New Roman"/>
          <w:b/>
          <w:bCs/>
          <w:sz w:val="22"/>
          <w:szCs w:val="22"/>
        </w:rPr>
      </w:pPr>
    </w:p>
    <w:sectPr w:rsidR="00CA7FD1" w:rsidRPr="008927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E6A6B"/>
    <w:multiLevelType w:val="hybridMultilevel"/>
    <w:tmpl w:val="C2805B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EC5102"/>
    <w:multiLevelType w:val="hybridMultilevel"/>
    <w:tmpl w:val="6C509478"/>
    <w:lvl w:ilvl="0" w:tplc="041F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754C14C"/>
    <w:multiLevelType w:val="hybridMultilevel"/>
    <w:tmpl w:val="39F0FE4A"/>
    <w:lvl w:ilvl="0" w:tplc="E5DCE7AA">
      <w:start w:val="1"/>
      <w:numFmt w:val="bullet"/>
      <w:lvlText w:val=""/>
      <w:lvlJc w:val="left"/>
      <w:pPr>
        <w:ind w:left="720" w:hanging="360"/>
      </w:pPr>
      <w:rPr>
        <w:rFonts w:ascii="Symbol" w:hAnsi="Symbol" w:hint="default"/>
      </w:rPr>
    </w:lvl>
    <w:lvl w:ilvl="1" w:tplc="256E3CFA">
      <w:start w:val="1"/>
      <w:numFmt w:val="bullet"/>
      <w:lvlText w:val="o"/>
      <w:lvlJc w:val="left"/>
      <w:pPr>
        <w:ind w:left="1440" w:hanging="360"/>
      </w:pPr>
      <w:rPr>
        <w:rFonts w:ascii="Courier New" w:hAnsi="Courier New" w:hint="default"/>
      </w:rPr>
    </w:lvl>
    <w:lvl w:ilvl="2" w:tplc="C9902958">
      <w:start w:val="1"/>
      <w:numFmt w:val="bullet"/>
      <w:lvlText w:val=""/>
      <w:lvlJc w:val="left"/>
      <w:pPr>
        <w:ind w:left="2160" w:hanging="360"/>
      </w:pPr>
      <w:rPr>
        <w:rFonts w:ascii="Wingdings" w:hAnsi="Wingdings" w:hint="default"/>
      </w:rPr>
    </w:lvl>
    <w:lvl w:ilvl="3" w:tplc="971A542A">
      <w:start w:val="1"/>
      <w:numFmt w:val="bullet"/>
      <w:lvlText w:val=""/>
      <w:lvlJc w:val="left"/>
      <w:pPr>
        <w:ind w:left="2880" w:hanging="360"/>
      </w:pPr>
      <w:rPr>
        <w:rFonts w:ascii="Symbol" w:hAnsi="Symbol" w:hint="default"/>
      </w:rPr>
    </w:lvl>
    <w:lvl w:ilvl="4" w:tplc="51B89926">
      <w:start w:val="1"/>
      <w:numFmt w:val="bullet"/>
      <w:lvlText w:val="o"/>
      <w:lvlJc w:val="left"/>
      <w:pPr>
        <w:ind w:left="3600" w:hanging="360"/>
      </w:pPr>
      <w:rPr>
        <w:rFonts w:ascii="Courier New" w:hAnsi="Courier New" w:hint="default"/>
      </w:rPr>
    </w:lvl>
    <w:lvl w:ilvl="5" w:tplc="D36EDD9C">
      <w:start w:val="1"/>
      <w:numFmt w:val="bullet"/>
      <w:lvlText w:val=""/>
      <w:lvlJc w:val="left"/>
      <w:pPr>
        <w:ind w:left="4320" w:hanging="360"/>
      </w:pPr>
      <w:rPr>
        <w:rFonts w:ascii="Wingdings" w:hAnsi="Wingdings" w:hint="default"/>
      </w:rPr>
    </w:lvl>
    <w:lvl w:ilvl="6" w:tplc="5B206538">
      <w:start w:val="1"/>
      <w:numFmt w:val="bullet"/>
      <w:lvlText w:val=""/>
      <w:lvlJc w:val="left"/>
      <w:pPr>
        <w:ind w:left="5040" w:hanging="360"/>
      </w:pPr>
      <w:rPr>
        <w:rFonts w:ascii="Symbol" w:hAnsi="Symbol" w:hint="default"/>
      </w:rPr>
    </w:lvl>
    <w:lvl w:ilvl="7" w:tplc="9FA62C34">
      <w:start w:val="1"/>
      <w:numFmt w:val="bullet"/>
      <w:lvlText w:val="o"/>
      <w:lvlJc w:val="left"/>
      <w:pPr>
        <w:ind w:left="5760" w:hanging="360"/>
      </w:pPr>
      <w:rPr>
        <w:rFonts w:ascii="Courier New" w:hAnsi="Courier New" w:hint="default"/>
      </w:rPr>
    </w:lvl>
    <w:lvl w:ilvl="8" w:tplc="2ADA3528">
      <w:start w:val="1"/>
      <w:numFmt w:val="bullet"/>
      <w:lvlText w:val=""/>
      <w:lvlJc w:val="left"/>
      <w:pPr>
        <w:ind w:left="6480" w:hanging="360"/>
      </w:pPr>
      <w:rPr>
        <w:rFonts w:ascii="Wingdings" w:hAnsi="Wingdings" w:hint="default"/>
      </w:rPr>
    </w:lvl>
  </w:abstractNum>
  <w:abstractNum w:abstractNumId="3" w15:restartNumberingAfterBreak="0">
    <w:nsid w:val="487209FE"/>
    <w:multiLevelType w:val="multilevel"/>
    <w:tmpl w:val="AD76FB24"/>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55022">
    <w:abstractNumId w:val="1"/>
  </w:num>
  <w:num w:numId="2" w16cid:durableId="1518273899">
    <w:abstractNumId w:val="0"/>
  </w:num>
  <w:num w:numId="3" w16cid:durableId="1236479305">
    <w:abstractNumId w:val="2"/>
  </w:num>
  <w:num w:numId="4" w16cid:durableId="15863830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A4"/>
    <w:rsid w:val="00166922"/>
    <w:rsid w:val="00263C95"/>
    <w:rsid w:val="00264E28"/>
    <w:rsid w:val="002668AC"/>
    <w:rsid w:val="0037610E"/>
    <w:rsid w:val="00465A71"/>
    <w:rsid w:val="00517A85"/>
    <w:rsid w:val="00581A36"/>
    <w:rsid w:val="005B378C"/>
    <w:rsid w:val="005C3A4F"/>
    <w:rsid w:val="005E39B2"/>
    <w:rsid w:val="00627B8B"/>
    <w:rsid w:val="00631422"/>
    <w:rsid w:val="00655FB8"/>
    <w:rsid w:val="00666942"/>
    <w:rsid w:val="006A3C47"/>
    <w:rsid w:val="00771D9F"/>
    <w:rsid w:val="00811522"/>
    <w:rsid w:val="008927B0"/>
    <w:rsid w:val="008A705A"/>
    <w:rsid w:val="008F5A4F"/>
    <w:rsid w:val="009000AC"/>
    <w:rsid w:val="00B57C6C"/>
    <w:rsid w:val="00B64AA4"/>
    <w:rsid w:val="00CA7FD1"/>
    <w:rsid w:val="00CC0219"/>
    <w:rsid w:val="00D47179"/>
    <w:rsid w:val="00E12008"/>
    <w:rsid w:val="00E56BD7"/>
    <w:rsid w:val="00E96649"/>
    <w:rsid w:val="00EA0D16"/>
    <w:rsid w:val="00F43F76"/>
    <w:rsid w:val="00F81728"/>
    <w:rsid w:val="00FA6CAB"/>
    <w:rsid w:val="00FE03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61C4B"/>
  <w15:chartTrackingRefBased/>
  <w15:docId w15:val="{1B940E48-8100-486C-8E2F-85B637E19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64A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B64A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64AA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64AA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64AA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64AA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64AA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64AA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64AA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64AA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B64AA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64AA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64AA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64AA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64AA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64AA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64AA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64AA4"/>
    <w:rPr>
      <w:rFonts w:eastAsiaTheme="majorEastAsia" w:cstheme="majorBidi"/>
      <w:color w:val="272727" w:themeColor="text1" w:themeTint="D8"/>
    </w:rPr>
  </w:style>
  <w:style w:type="paragraph" w:styleId="KonuBal">
    <w:name w:val="Title"/>
    <w:basedOn w:val="Normal"/>
    <w:next w:val="Normal"/>
    <w:link w:val="KonuBalChar"/>
    <w:uiPriority w:val="10"/>
    <w:qFormat/>
    <w:rsid w:val="00B64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64AA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64AA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64AA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64AA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64AA4"/>
    <w:rPr>
      <w:i/>
      <w:iCs/>
      <w:color w:val="404040" w:themeColor="text1" w:themeTint="BF"/>
    </w:rPr>
  </w:style>
  <w:style w:type="paragraph" w:styleId="ListeParagraf">
    <w:name w:val="List Paragraph"/>
    <w:basedOn w:val="Normal"/>
    <w:uiPriority w:val="34"/>
    <w:qFormat/>
    <w:rsid w:val="00B64AA4"/>
    <w:pPr>
      <w:ind w:left="720"/>
      <w:contextualSpacing/>
    </w:pPr>
  </w:style>
  <w:style w:type="character" w:styleId="GlVurgulama">
    <w:name w:val="Intense Emphasis"/>
    <w:basedOn w:val="VarsaylanParagrafYazTipi"/>
    <w:uiPriority w:val="21"/>
    <w:qFormat/>
    <w:rsid w:val="00B64AA4"/>
    <w:rPr>
      <w:i/>
      <w:iCs/>
      <w:color w:val="0F4761" w:themeColor="accent1" w:themeShade="BF"/>
    </w:rPr>
  </w:style>
  <w:style w:type="paragraph" w:styleId="GlAlnt">
    <w:name w:val="Intense Quote"/>
    <w:basedOn w:val="Normal"/>
    <w:next w:val="Normal"/>
    <w:link w:val="GlAlntChar"/>
    <w:uiPriority w:val="30"/>
    <w:qFormat/>
    <w:rsid w:val="00B64A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64AA4"/>
    <w:rPr>
      <w:i/>
      <w:iCs/>
      <w:color w:val="0F4761" w:themeColor="accent1" w:themeShade="BF"/>
    </w:rPr>
  </w:style>
  <w:style w:type="character" w:styleId="GlBavuru">
    <w:name w:val="Intense Reference"/>
    <w:basedOn w:val="VarsaylanParagrafYazTipi"/>
    <w:uiPriority w:val="32"/>
    <w:qFormat/>
    <w:rsid w:val="00B64A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298EB405-A8D9-4C06-BC8C-51634B87F5D8}"/>
</file>

<file path=customXml/itemProps2.xml><?xml version="1.0" encoding="utf-8"?>
<ds:datastoreItem xmlns:ds="http://schemas.openxmlformats.org/officeDocument/2006/customXml" ds:itemID="{887EEAE8-275C-42FE-899D-9B6D933E3BDB}"/>
</file>

<file path=customXml/itemProps3.xml><?xml version="1.0" encoding="utf-8"?>
<ds:datastoreItem xmlns:ds="http://schemas.openxmlformats.org/officeDocument/2006/customXml" ds:itemID="{1B4113FA-882D-4259-9FB2-A7240CE2B569}"/>
</file>

<file path=docProps/app.xml><?xml version="1.0" encoding="utf-8"?>
<Properties xmlns="http://schemas.openxmlformats.org/officeDocument/2006/extended-properties" xmlns:vt="http://schemas.openxmlformats.org/officeDocument/2006/docPropsVTypes">
  <Template>Normal</Template>
  <TotalTime>14</TotalTime>
  <Pages>15</Pages>
  <Words>4632</Words>
  <Characters>33309</Characters>
  <Application>Microsoft Office Word</Application>
  <DocSecurity>0</DocSecurity>
  <Lines>546</Lines>
  <Paragraphs>278</Paragraphs>
  <ScaleCrop>false</ScaleCrop>
  <Company/>
  <LinksUpToDate>false</LinksUpToDate>
  <CharactersWithSpaces>37663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Pelinsu Tuza</dc:creator>
  <cp:keywords/>
  <dc:description/>
  <cp:lastModifiedBy>Pelinsu Tuza</cp:lastModifiedBy>
  <cp:revision>33</cp:revision>
  <dcterms:created xsi:type="dcterms:W3CDTF">2026-04-17T13:36:00Z</dcterms:created>
  <dcterms:modified xsi:type="dcterms:W3CDTF">2026-04-17T16:45:00Z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ies>
</file>