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B981111" w:rsidP="7F784F07" w:rsidRDefault="5B981111" w14:paraId="515AD718" w14:textId="0EE3F057">
      <w:pPr>
        <w:pStyle w:val="Normal"/>
        <w:jc w:val="both"/>
        <w:rPr>
          <w:rFonts w:ascii="Arial" w:hAnsi="Arial" w:eastAsia="Arial" w:cs="Arial"/>
          <w:b w:val="0"/>
          <w:bCs w:val="0"/>
          <w:i w:val="0"/>
          <w:iCs w:val="0"/>
          <w:caps w:val="0"/>
          <w:smallCaps w:val="0"/>
          <w:noProof/>
          <w:color w:val="000000" w:themeColor="text1" w:themeTint="FF" w:themeShade="FF"/>
          <w:sz w:val="22"/>
          <w:szCs w:val="22"/>
          <w:u w:val="single"/>
          <w:lang w:val="tr-TR"/>
        </w:rPr>
      </w:pPr>
      <w:r w:rsidRPr="7F784F07" w:rsidR="5B981111">
        <w:rPr>
          <w:rFonts w:ascii="Arial" w:hAnsi="Arial" w:eastAsia="Arial" w:cs="Arial"/>
          <w:b w:val="0"/>
          <w:bCs w:val="0"/>
          <w:i w:val="0"/>
          <w:iCs w:val="0"/>
          <w:caps w:val="0"/>
          <w:smallCaps w:val="0"/>
          <w:noProof/>
          <w:color w:val="000000" w:themeColor="text1" w:themeTint="FF" w:themeShade="FF"/>
          <w:sz w:val="22"/>
          <w:szCs w:val="22"/>
          <w:u w:val="single"/>
          <w:lang w:val="tr-TR"/>
        </w:rPr>
        <w:t>Ege-Çakırca tarafından Ağustos 2025- Kasım 2025 tarihleri arasında “</w:t>
      </w:r>
      <w:r w:rsidRPr="7F784F07" w:rsidR="5B981111">
        <w:rPr>
          <w:rFonts w:ascii="Arial" w:hAnsi="Arial" w:eastAsia="Arial" w:cs="Arial"/>
          <w:b w:val="0"/>
          <w:bCs w:val="0"/>
          <w:i w:val="0"/>
          <w:iCs w:val="0"/>
          <w:caps w:val="0"/>
          <w:smallCaps w:val="0"/>
          <w:noProof/>
          <w:color w:val="242424"/>
          <w:sz w:val="22"/>
          <w:szCs w:val="22"/>
          <w:u w:val="single"/>
          <w:lang w:val="tr-TR"/>
        </w:rPr>
        <w:t>Enerji Piyasasında R</w:t>
      </w:r>
      <w:r w:rsidRPr="7F784F07" w:rsidR="5B869AED">
        <w:rPr>
          <w:rFonts w:ascii="Arial" w:hAnsi="Arial" w:eastAsia="Arial" w:cs="Arial"/>
          <w:b w:val="0"/>
          <w:bCs w:val="0"/>
          <w:i w:val="0"/>
          <w:iCs w:val="0"/>
          <w:caps w:val="0"/>
          <w:smallCaps w:val="0"/>
          <w:noProof/>
          <w:color w:val="242424"/>
          <w:sz w:val="22"/>
          <w:szCs w:val="22"/>
          <w:u w:val="single"/>
          <w:lang w:val="tr-TR"/>
        </w:rPr>
        <w:t>egülasyon</w:t>
      </w:r>
      <w:r w:rsidRPr="7F784F07" w:rsidR="5B981111">
        <w:rPr>
          <w:rFonts w:ascii="Arial" w:hAnsi="Arial" w:eastAsia="Arial" w:cs="Arial"/>
          <w:b w:val="0"/>
          <w:bCs w:val="0"/>
          <w:i w:val="0"/>
          <w:iCs w:val="0"/>
          <w:caps w:val="0"/>
          <w:smallCaps w:val="0"/>
          <w:noProof/>
          <w:color w:val="242424"/>
          <w:sz w:val="22"/>
          <w:szCs w:val="22"/>
          <w:u w:val="single"/>
          <w:lang w:val="tr-TR"/>
        </w:rPr>
        <w:t xml:space="preserve"> </w:t>
      </w:r>
      <w:r w:rsidRPr="7F784F07" w:rsidR="60836E3E">
        <w:rPr>
          <w:rFonts w:ascii="Arial" w:hAnsi="Arial" w:eastAsia="Arial" w:cs="Arial"/>
          <w:b w:val="0"/>
          <w:bCs w:val="0"/>
          <w:i w:val="0"/>
          <w:iCs w:val="0"/>
          <w:caps w:val="0"/>
          <w:smallCaps w:val="0"/>
          <w:noProof/>
          <w:color w:val="242424"/>
          <w:sz w:val="22"/>
          <w:szCs w:val="22"/>
          <w:u w:val="single"/>
          <w:lang w:val="tr-TR"/>
        </w:rPr>
        <w:t>ve</w:t>
      </w:r>
      <w:r w:rsidRPr="7F784F07" w:rsidR="5B981111">
        <w:rPr>
          <w:rFonts w:ascii="Arial" w:hAnsi="Arial" w:eastAsia="Arial" w:cs="Arial"/>
          <w:b w:val="0"/>
          <w:bCs w:val="0"/>
          <w:i w:val="0"/>
          <w:iCs w:val="0"/>
          <w:caps w:val="0"/>
          <w:smallCaps w:val="0"/>
          <w:noProof/>
          <w:color w:val="242424"/>
          <w:sz w:val="22"/>
          <w:szCs w:val="22"/>
          <w:u w:val="single"/>
          <w:lang w:val="tr-TR"/>
        </w:rPr>
        <w:t xml:space="preserve"> İ</w:t>
      </w:r>
      <w:r w:rsidRPr="7F784F07" w:rsidR="207F9AE4">
        <w:rPr>
          <w:rFonts w:ascii="Arial" w:hAnsi="Arial" w:eastAsia="Arial" w:cs="Arial"/>
          <w:b w:val="0"/>
          <w:bCs w:val="0"/>
          <w:i w:val="0"/>
          <w:iCs w:val="0"/>
          <w:caps w:val="0"/>
          <w:smallCaps w:val="0"/>
          <w:noProof/>
          <w:color w:val="242424"/>
          <w:sz w:val="22"/>
          <w:szCs w:val="22"/>
          <w:u w:val="single"/>
          <w:lang w:val="tr-TR"/>
        </w:rPr>
        <w:t>dari</w:t>
      </w:r>
      <w:r w:rsidRPr="7F784F07" w:rsidR="5B981111">
        <w:rPr>
          <w:rFonts w:ascii="Arial" w:hAnsi="Arial" w:eastAsia="Arial" w:cs="Arial"/>
          <w:b w:val="0"/>
          <w:bCs w:val="0"/>
          <w:i w:val="0"/>
          <w:iCs w:val="0"/>
          <w:caps w:val="0"/>
          <w:smallCaps w:val="0"/>
          <w:noProof/>
          <w:color w:val="242424"/>
          <w:sz w:val="22"/>
          <w:szCs w:val="22"/>
          <w:u w:val="single"/>
          <w:lang w:val="tr-TR"/>
        </w:rPr>
        <w:t xml:space="preserve"> S</w:t>
      </w:r>
      <w:r w:rsidRPr="7F784F07" w:rsidR="5D63BFB6">
        <w:rPr>
          <w:rFonts w:ascii="Arial" w:hAnsi="Arial" w:eastAsia="Arial" w:cs="Arial"/>
          <w:b w:val="0"/>
          <w:bCs w:val="0"/>
          <w:i w:val="0"/>
          <w:iCs w:val="0"/>
          <w:caps w:val="0"/>
          <w:smallCaps w:val="0"/>
          <w:noProof/>
          <w:color w:val="242424"/>
          <w:sz w:val="22"/>
          <w:szCs w:val="22"/>
          <w:u w:val="single"/>
          <w:lang w:val="tr-TR"/>
        </w:rPr>
        <w:t>üreçler</w:t>
      </w:r>
      <w:r w:rsidRPr="7F784F07" w:rsidR="5B981111">
        <w:rPr>
          <w:rFonts w:ascii="Arial" w:hAnsi="Arial" w:eastAsia="Arial" w:cs="Arial"/>
          <w:b w:val="0"/>
          <w:bCs w:val="0"/>
          <w:i w:val="0"/>
          <w:iCs w:val="0"/>
          <w:caps w:val="0"/>
          <w:smallCaps w:val="0"/>
          <w:noProof/>
          <w:color w:val="000000" w:themeColor="text1" w:themeTint="FF" w:themeShade="FF"/>
          <w:sz w:val="22"/>
          <w:szCs w:val="22"/>
          <w:u w:val="single"/>
          <w:lang w:val="tr-TR"/>
        </w:rPr>
        <w:t xml:space="preserve">” konusuna ilişkin olarak kaleme alınan işbu yazılar, yalnızca genel bilgilendirme amacı taşımakta olup, herhangi bir şekilde hukuki görüş, mütalaa veya danışmanlık hizmeti teşkil etmemektedir. </w:t>
      </w:r>
    </w:p>
    <w:p w:rsidR="5B981111" w:rsidP="7F784F07" w:rsidRDefault="5B981111" w14:paraId="0EEC1629" w14:textId="461BC10D">
      <w:pPr>
        <w:jc w:val="both"/>
        <w:rPr>
          <w:rFonts w:ascii="Arial" w:hAnsi="Arial" w:eastAsia="Arial" w:cs="Arial"/>
          <w:b w:val="0"/>
          <w:bCs w:val="0"/>
          <w:i w:val="0"/>
          <w:iCs w:val="0"/>
          <w:caps w:val="0"/>
          <w:smallCaps w:val="0"/>
          <w:noProof/>
          <w:color w:val="000000" w:themeColor="text1" w:themeTint="FF" w:themeShade="FF"/>
          <w:sz w:val="22"/>
          <w:szCs w:val="22"/>
          <w:u w:val="single"/>
          <w:lang w:val="tr-TR"/>
        </w:rPr>
      </w:pPr>
      <w:r w:rsidRPr="7F784F07" w:rsidR="5B981111">
        <w:rPr>
          <w:rFonts w:ascii="Arial" w:hAnsi="Arial" w:eastAsia="Arial" w:cs="Arial"/>
          <w:b w:val="0"/>
          <w:bCs w:val="0"/>
          <w:i w:val="0"/>
          <w:iCs w:val="0"/>
          <w:caps w:val="0"/>
          <w:smallCaps w:val="0"/>
          <w:noProof/>
          <w:color w:val="000000" w:themeColor="text1" w:themeTint="FF" w:themeShade="FF"/>
          <w:sz w:val="22"/>
          <w:szCs w:val="22"/>
          <w:u w:val="single"/>
          <w:lang w:val="tr-TR"/>
        </w:rPr>
        <w:t xml:space="preserve">Bu içerikler, belirli bir somut olaya uygulanmak üzere hazırlanmadığından, avukat müvekkil ilişkisinin kurulmasına da yol açmaz. Metinlerde yer alan bilgi ve değerlendirmelerin güncelliği, doğruluğu veya belirli bir amaca uygunluğu konusunda açık ya da zımni herhangi bir taahhüt veya garanti verilmemektedir. </w:t>
      </w:r>
    </w:p>
    <w:p w:rsidR="5B981111" w:rsidP="7F784F07" w:rsidRDefault="5B981111" w14:paraId="49E6EBA2" w14:textId="18DA3C3C">
      <w:pPr>
        <w:jc w:val="both"/>
        <w:rPr>
          <w:rFonts w:ascii="Arial" w:hAnsi="Arial" w:eastAsia="Arial" w:cs="Arial"/>
          <w:b w:val="0"/>
          <w:bCs w:val="0"/>
          <w:i w:val="0"/>
          <w:iCs w:val="0"/>
          <w:caps w:val="0"/>
          <w:smallCaps w:val="0"/>
          <w:noProof/>
          <w:color w:val="000000" w:themeColor="text1" w:themeTint="FF" w:themeShade="FF"/>
          <w:sz w:val="22"/>
          <w:szCs w:val="22"/>
          <w:u w:val="single"/>
          <w:lang w:val="tr-TR"/>
        </w:rPr>
      </w:pPr>
      <w:r w:rsidRPr="7F784F07" w:rsidR="5B981111">
        <w:rPr>
          <w:rFonts w:ascii="Arial" w:hAnsi="Arial" w:eastAsia="Arial" w:cs="Arial"/>
          <w:b w:val="0"/>
          <w:bCs w:val="0"/>
          <w:i w:val="0"/>
          <w:iCs w:val="0"/>
          <w:caps w:val="0"/>
          <w:smallCaps w:val="0"/>
          <w:noProof/>
          <w:color w:val="000000" w:themeColor="text1" w:themeTint="FF" w:themeShade="FF"/>
          <w:sz w:val="22"/>
          <w:szCs w:val="22"/>
          <w:u w:val="single"/>
          <w:lang w:val="tr-TR"/>
        </w:rPr>
        <w:t xml:space="preserve">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 </w:t>
      </w:r>
    </w:p>
    <w:p w:rsidR="5B981111" w:rsidP="7F784F07" w:rsidRDefault="5B981111" w14:paraId="69AC8A76" w14:textId="28003823">
      <w:pPr>
        <w:jc w:val="both"/>
        <w:rPr>
          <w:rFonts w:ascii="Arial" w:hAnsi="Arial" w:eastAsia="Arial" w:cs="Arial"/>
          <w:b w:val="0"/>
          <w:bCs w:val="0"/>
          <w:i w:val="0"/>
          <w:iCs w:val="0"/>
          <w:caps w:val="0"/>
          <w:smallCaps w:val="0"/>
          <w:noProof/>
          <w:color w:val="000000" w:themeColor="text1" w:themeTint="FF" w:themeShade="FF"/>
          <w:sz w:val="22"/>
          <w:szCs w:val="22"/>
          <w:u w:val="single"/>
          <w:lang w:val="tr-TR"/>
        </w:rPr>
      </w:pPr>
      <w:r w:rsidRPr="7F784F07" w:rsidR="5B981111">
        <w:rPr>
          <w:rFonts w:ascii="Arial" w:hAnsi="Arial" w:eastAsia="Arial" w:cs="Arial"/>
          <w:b w:val="0"/>
          <w:bCs w:val="0"/>
          <w:i w:val="0"/>
          <w:iCs w:val="0"/>
          <w:caps w:val="0"/>
          <w:smallCaps w:val="0"/>
          <w:noProof/>
          <w:color w:val="000000" w:themeColor="text1" w:themeTint="FF" w:themeShade="FF"/>
          <w:sz w:val="22"/>
          <w:szCs w:val="22"/>
          <w:u w:val="single"/>
          <w:lang w:val="tr-TR"/>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w:rsidR="7F784F07" w:rsidP="7F784F07" w:rsidRDefault="7F784F07" w14:paraId="52A7BCAA" w14:textId="59E6C627">
      <w:pPr>
        <w:tabs>
          <w:tab w:val="num" w:leader="none" w:pos="720"/>
        </w:tabs>
        <w:ind w:left="0" w:hanging="0"/>
        <w:jc w:val="both"/>
        <w:rPr>
          <w:rFonts w:ascii="Arial" w:hAnsi="Arial" w:eastAsia="Arial" w:cs="Arial"/>
          <w:i w:val="0"/>
          <w:iCs w:val="0"/>
          <w:color w:val="auto"/>
          <w:sz w:val="22"/>
          <w:szCs w:val="22"/>
        </w:rPr>
      </w:pPr>
    </w:p>
    <w:p w:rsidRPr="00D3199E" w:rsidR="00CB581B" w:rsidP="7F784F07" w:rsidRDefault="00CB581B" w14:paraId="69196DF9" w14:textId="3E69EECF">
      <w:pPr>
        <w:tabs>
          <w:tab w:val="num" w:pos="720"/>
        </w:tabs>
        <w:ind w:left="0" w:hanging="0"/>
        <w:jc w:val="both"/>
        <w:rPr>
          <w:rFonts w:ascii="Arial" w:hAnsi="Arial" w:eastAsia="Arial" w:cs="Arial"/>
          <w:i w:val="0"/>
          <w:iCs w:val="0"/>
          <w:color w:val="auto"/>
          <w:sz w:val="22"/>
          <w:szCs w:val="22"/>
        </w:rPr>
      </w:pPr>
      <w:r w:rsidRPr="7F784F07" w:rsidR="04F0D227">
        <w:rPr>
          <w:rFonts w:ascii="Arial" w:hAnsi="Arial" w:eastAsia="Arial" w:cs="Arial"/>
          <w:i w:val="0"/>
          <w:iCs w:val="0"/>
          <w:color w:val="auto"/>
          <w:sz w:val="22"/>
          <w:szCs w:val="22"/>
        </w:rPr>
        <w:t>EYLÜL 2025</w:t>
      </w:r>
    </w:p>
    <w:p w:rsidR="02232A49" w:rsidP="1F3CDA55" w:rsidRDefault="02232A49" w14:paraId="4245B269" w14:textId="6F687BF7">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LİSANSSIZ ELEKTRİK ÜRETİMİNDE MUAFİYETLER</w:t>
      </w:r>
      <w:r w:rsidRPr="1F3CDA55" w:rsidR="5C7F761A">
        <w:rPr>
          <w:rFonts w:ascii="Arial" w:hAnsi="Arial" w:eastAsia="Arial" w:cs="Arial"/>
          <w:i w:val="0"/>
          <w:iCs w:val="0"/>
          <w:noProof w:val="0"/>
          <w:color w:val="auto"/>
          <w:sz w:val="22"/>
          <w:szCs w:val="22"/>
          <w:lang w:val="tr-TR"/>
        </w:rPr>
        <w:t xml:space="preserve"> </w:t>
      </w:r>
    </w:p>
    <w:p w:rsidR="02232A49" w:rsidP="1F3CDA55" w:rsidRDefault="02232A49" w14:paraId="7E7715E5" w14:textId="47A8C7B0">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 xml:space="preserve">Türkiye’de enerji piyasasının önemli alanlarından biri lisanssız elektrik üretimidir. Özellikle küçük ölçekli yatırımların teşvik edilmesi suretiyle hem arz güvenliği desteklenmekte hem de yenilenebilir enerji kaynaklarının kullanım oranı artırılmaktadır. Bu çerçevede Elektrik Piyasasında Lisanssız Elektrik Üretim Yönetmeliği, yatırımcılar bakımından temel düzenleyici metin niteliği taşımaktadır. Yönetmeliğin 5. maddesi ise belirli üretim tesisleri bakımından </w:t>
      </w:r>
      <w:r w:rsidRPr="1F3CDA55" w:rsidR="5C7F761A">
        <w:rPr>
          <w:rFonts w:ascii="Arial" w:hAnsi="Arial" w:eastAsia="Arial" w:cs="Arial"/>
          <w:i w:val="0"/>
          <w:iCs w:val="0"/>
          <w:noProof w:val="0"/>
          <w:color w:val="auto"/>
          <w:sz w:val="22"/>
          <w:szCs w:val="22"/>
          <w:lang w:val="tr-TR"/>
        </w:rPr>
        <w:t>önlisans</w:t>
      </w:r>
      <w:r w:rsidRPr="1F3CDA55" w:rsidR="5C7F761A">
        <w:rPr>
          <w:rFonts w:ascii="Arial" w:hAnsi="Arial" w:eastAsia="Arial" w:cs="Arial"/>
          <w:i w:val="0"/>
          <w:iCs w:val="0"/>
          <w:noProof w:val="0"/>
          <w:color w:val="auto"/>
          <w:sz w:val="22"/>
          <w:szCs w:val="22"/>
          <w:lang w:val="tr-TR"/>
        </w:rPr>
        <w:t>, lisans alma ve şirket kurma yükümlülüklerinden muafiyet öngörerek enerji yatırımlarında önemli bir kolaylık sağlamaktadır.</w:t>
      </w:r>
    </w:p>
    <w:p w:rsidR="02232A49" w:rsidP="1F3CDA55" w:rsidRDefault="02232A49" w14:paraId="0DDC3834" w14:textId="60C2683C">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Amaç</w:t>
      </w:r>
    </w:p>
    <w:p w:rsidR="02232A49" w:rsidP="1F3CDA55" w:rsidRDefault="02232A49" w14:paraId="357F98D5" w14:textId="278F47E3">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Bu düzenleme üç temel amacı haizdir:</w:t>
      </w:r>
    </w:p>
    <w:p w:rsidR="02232A49" w:rsidP="1F3CDA55" w:rsidRDefault="02232A49" w14:paraId="1EE30E24" w14:textId="0DD9C2AE">
      <w:pPr>
        <w:pStyle w:val="ListeParagraf"/>
        <w:numPr>
          <w:ilvl w:val="0"/>
          <w:numId w:val="60"/>
        </w:numPr>
        <w:spacing w:before="0" w:beforeAutospacing="off" w:after="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Arz güvenliğinin sağlanması:</w:t>
      </w:r>
      <w:r w:rsidRPr="1F3CDA55" w:rsidR="5C7F761A">
        <w:rPr>
          <w:rFonts w:ascii="Arial" w:hAnsi="Arial" w:eastAsia="Arial" w:cs="Arial"/>
          <w:i w:val="0"/>
          <w:iCs w:val="0"/>
          <w:noProof w:val="0"/>
          <w:color w:val="auto"/>
          <w:sz w:val="22"/>
          <w:szCs w:val="22"/>
          <w:lang w:val="tr-TR"/>
        </w:rPr>
        <w:t xml:space="preserve"> Küçük ölçekli üretim tesislerinin sisteme dâhil edilmesi suretiyle elektrik arzında çeşitliliğin artırılması, </w:t>
      </w:r>
    </w:p>
    <w:p w:rsidR="02232A49" w:rsidP="1F3CDA55" w:rsidRDefault="02232A49" w14:paraId="38E63289" w14:textId="0EA0913A">
      <w:pPr>
        <w:pStyle w:val="ListeParagraf"/>
        <w:numPr>
          <w:ilvl w:val="0"/>
          <w:numId w:val="60"/>
        </w:numPr>
        <w:spacing w:before="0" w:beforeAutospacing="off" w:after="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Yerli ve yenilenebilir kaynakların teşviki:</w:t>
      </w:r>
      <w:r w:rsidRPr="1F3CDA55" w:rsidR="5C7F761A">
        <w:rPr>
          <w:rFonts w:ascii="Arial" w:hAnsi="Arial" w:eastAsia="Arial" w:cs="Arial"/>
          <w:i w:val="0"/>
          <w:iCs w:val="0"/>
          <w:noProof w:val="0"/>
          <w:color w:val="auto"/>
          <w:sz w:val="22"/>
          <w:szCs w:val="22"/>
          <w:lang w:val="tr-TR"/>
        </w:rPr>
        <w:t xml:space="preserve"> Fosil yakıt dışındaki enerji kaynaklarının kullanımının yaygınlaştırılması, </w:t>
      </w:r>
    </w:p>
    <w:p w:rsidR="02232A49" w:rsidP="1F3CDA55" w:rsidRDefault="02232A49" w14:paraId="62CFA5A4" w14:textId="0A4D5611">
      <w:pPr>
        <w:pStyle w:val="ListeParagraf"/>
        <w:numPr>
          <w:ilvl w:val="0"/>
          <w:numId w:val="60"/>
        </w:numPr>
        <w:spacing w:before="0" w:beforeAutospacing="off" w:after="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Yatırım süreçlerinin kolaylaştırılması:</w:t>
      </w:r>
      <w:r w:rsidRPr="1F3CDA55" w:rsidR="5C7F761A">
        <w:rPr>
          <w:rFonts w:ascii="Arial" w:hAnsi="Arial" w:eastAsia="Arial" w:cs="Arial"/>
          <w:i w:val="0"/>
          <w:iCs w:val="0"/>
          <w:noProof w:val="0"/>
          <w:color w:val="auto"/>
          <w:sz w:val="22"/>
          <w:szCs w:val="22"/>
          <w:lang w:val="tr-TR"/>
        </w:rPr>
        <w:t xml:space="preserve"> Belirli nitelikteki üretim tesisleri bakımından lisans alma ve şirket kurma yükümlülüğünün kaldırılması suretiyle bürokratik yükün azaltılması. </w:t>
      </w:r>
    </w:p>
    <w:p w:rsidR="02232A49" w:rsidP="1F3CDA55" w:rsidRDefault="02232A49" w14:paraId="04E79499" w14:textId="2D8A42B2">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Bu yaklaşım, yatırımcılar açısından öngörülebilirliği artırmakta ve ulusal enerji politikaları ile Avrupa Birliği müktesebatına uyum sürecine katkı sağlamaktadır.</w:t>
      </w:r>
    </w:p>
    <w:p w:rsidR="02232A49" w:rsidP="1F3CDA55" w:rsidRDefault="02232A49" w14:paraId="28925084" w14:textId="4C8F5B05">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Muafiyet Kapsamındaki Tesisler</w:t>
      </w:r>
    </w:p>
    <w:p w:rsidR="02232A49" w:rsidP="1F3CDA55" w:rsidRDefault="02232A49" w14:paraId="26543F16" w14:textId="100B9D4D">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Yönetmeliğin 5. maddesi uyarınca, önlisans ve lisans alma ile şirket kurma yükümlülüğünden muaf tutulan üretim tesisleri ayrıntılı olarak sayılmıştır. Bunlar arasında aşağıdakiler yer almaktadır:</w:t>
      </w:r>
    </w:p>
    <w:p w:rsidR="02232A49" w:rsidP="1F3CDA55" w:rsidRDefault="02232A49" w14:paraId="21EB624D" w14:textId="34D2A1AC">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a) İmdat grupları,</w:t>
      </w:r>
    </w:p>
    <w:p w:rsidR="02232A49" w:rsidP="1F3CDA55" w:rsidRDefault="02232A49" w14:paraId="3A0BF8C7" w14:textId="260D6C8C">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b) İletim veya dağıtım sistemi ile herhangi bir şekilde bağlantısı bulunmaksızın çalışan üretim tesisleri,</w:t>
      </w:r>
    </w:p>
    <w:p w:rsidR="02232A49" w:rsidP="1F3CDA55" w:rsidRDefault="02232A49" w14:paraId="7CECAB9D" w14:textId="3699CFF5">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c) Kurulu gücü 1 MW veya Kanunun 14. maddesi uyarınca Cumhurbaşkanı tarafından belirlenen üst sınıra kadar olan yenilenebilir enerji kaynaklarına dayalı üretim tesisleri,</w:t>
      </w:r>
    </w:p>
    <w:p w:rsidR="02232A49" w:rsidP="1F3CDA55" w:rsidRDefault="02232A49" w14:paraId="593B1C2E" w14:textId="30FE13D0">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ç) Ürettiği enerjinin tamamını iletim veya dağıtım sistemine vermeksizin kendi tüketiminde kullanan, üretim ve tüketimi aynı ölçüm noktasında gerçekleşen yenilenebilir enerji kaynaklarına dayalı üretim tesisleri,</w:t>
      </w:r>
    </w:p>
    <w:p w:rsidR="02232A49" w:rsidP="1F3CDA55" w:rsidRDefault="02232A49" w14:paraId="12A3B886" w14:textId="62E095F5">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d) Bakanlıkça belirlenen verimlilik kriterlerini sağlayan kojenerasyon tesisleri,</w:t>
      </w:r>
    </w:p>
    <w:p w:rsidR="02232A49" w:rsidP="1F3CDA55" w:rsidRDefault="02232A49" w14:paraId="4486A835" w14:textId="11625778">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e) Mikrokojenerasyon tesisleri,</w:t>
      </w:r>
    </w:p>
    <w:p w:rsidR="02232A49" w:rsidP="1F3CDA55" w:rsidRDefault="02232A49" w14:paraId="02C0AE42" w14:textId="146E4135">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f) Belediyelerin katı atık tesisleri ile arıtma tesisi çamurlarının bertarafında kullanılmak üzere kurulan üretim tesisleri,</w:t>
      </w:r>
    </w:p>
    <w:p w:rsidR="02232A49" w:rsidP="1F3CDA55" w:rsidRDefault="02232A49" w14:paraId="4F92F93B" w14:textId="1E7C8931">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g) Sermayesinin yarısından fazlası belediyeye ait olan tüzel kişiler tarafından, belediyelerce işletilen su/atıksu isale hatları üzerinde, teknik imkânın bulunması ve Devlet Su İşleri Genel Müdürlüğü (DSİ) tarafından uygun bulunması hâlinde kurulan hidrolik kaynaklı üretim tesisleri,</w:t>
      </w:r>
    </w:p>
    <w:p w:rsidR="02232A49" w:rsidP="1F3CDA55" w:rsidRDefault="02232A49" w14:paraId="03D8B9DC" w14:textId="7A0F55C9">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ğ) Elektrik aboneliği DSİ veya sulama birliklerine ait olan tarımsal sulama tesislerinin elektrik ihtiyacını karşılamak amacıyla, sözleşme gücü ile sınırlı kalmak kaydıyla DSİ veya sulama birlikleri tarafından kurulan yenilenebilir enerji üretim tesisleri,</w:t>
      </w:r>
    </w:p>
    <w:p w:rsidR="02232A49" w:rsidP="1F3CDA55" w:rsidRDefault="02232A49" w14:paraId="752F21D0" w14:textId="71322293">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h) Belediyeler ve bağlı kuruluşları ile sanayi tesisleri ve tarımsal sulama amaçlı tesisler tarafından bağlantı anlaşmasındaki sözleşme gücünün iki katına kadar; diğer kişiler bakımından ise sözleşme gücü ile sınırlı olmak üzere kurulan yenilenebilir enerji kaynaklarına dayalı üretim tesisleri,</w:t>
      </w:r>
    </w:p>
    <w:p w:rsidR="02232A49" w:rsidP="1F3CDA55" w:rsidRDefault="02232A49" w14:paraId="07824E99" w14:textId="5021C1A4">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ı) Sulama birliklerinin sorumluluğundaki taşınmazlar veya DSİ’nin mülkiyetinde ya da tasarrufunda bulunan alanlar üzerinde DSİ’nin uygun görüşü alınmak suretiyle kurulan, sulama birliklerince işletilen ve sözleşme gücü ile sınırlı üretim tesisleri,</w:t>
      </w:r>
    </w:p>
    <w:p w:rsidR="02232A49" w:rsidP="1F3CDA55" w:rsidRDefault="02232A49" w14:paraId="114CC796" w14:textId="30B04B36">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i) İl özel idareleri tarafından kurulan tüzel kişiler tarafından, il özel idaresince işletilen sulama şebekeleri üzerinde, teknik imkânın bulunması ve DSİ tarafından uygun bulunması hâlinde kurulan üretim tesisleri.</w:t>
      </w:r>
    </w:p>
    <w:p w:rsidR="02232A49" w:rsidP="1F3CDA55" w:rsidRDefault="02232A49" w14:paraId="0C07F5B9" w14:textId="66F08D07">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Ek Şartlar</w:t>
      </w:r>
    </w:p>
    <w:p w:rsidR="02232A49" w:rsidP="1F3CDA55" w:rsidRDefault="02232A49" w14:paraId="2C8E3D11" w14:textId="2959EC23">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Yönetmelik, yalnızca tesis türlerini değil, aynı zamanda tesislerin kurulumu ve işletilmesine ilişkin şartları da düzenlemektedir. Muafiyet hükümlerinden yararlanılabilmesi için öngörülen başlıca şartlar şunlardır:</w:t>
      </w:r>
    </w:p>
    <w:p w:rsidR="02232A49" w:rsidP="1F3CDA55" w:rsidRDefault="02232A49" w14:paraId="443D919A" w14:textId="70FA9C58">
      <w:pPr>
        <w:pStyle w:val="ListeParagraf"/>
        <w:numPr>
          <w:ilvl w:val="0"/>
          <w:numId w:val="61"/>
        </w:numPr>
        <w:spacing w:before="0" w:beforeAutospacing="off" w:after="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Aynı dağıtım bölgesi şartı:</w:t>
      </w:r>
      <w:r w:rsidRPr="1F3CDA55" w:rsidR="5C7F761A">
        <w:rPr>
          <w:rFonts w:ascii="Arial" w:hAnsi="Arial" w:eastAsia="Arial" w:cs="Arial"/>
          <w:i w:val="0"/>
          <w:iCs w:val="0"/>
          <w:noProof w:val="0"/>
          <w:color w:val="auto"/>
          <w:sz w:val="22"/>
          <w:szCs w:val="22"/>
          <w:lang w:val="tr-TR"/>
        </w:rPr>
        <w:t xml:space="preserve"> Bu Yönetmelik kapsamında üretim tesisi kuracak gerçek veya tüzel kişilerin üretim tesisleri ile tüketim tesislerinin aynı dağıtım bölgesi içerisinde bulunması zorunludur. Ancak, 5. maddenin birinci fıkrasının (h) bendi kapsamında, tüketim tesisinin bulunduğu dağıtım lisansı bölgesi dışında da üretim tesisi kurulabilmektedir. </w:t>
      </w:r>
    </w:p>
    <w:p w:rsidR="02232A49" w:rsidP="1F3CDA55" w:rsidRDefault="02232A49" w14:paraId="76AFDCBB" w14:textId="6F777E9A">
      <w:pPr>
        <w:pStyle w:val="ListeParagraf"/>
        <w:numPr>
          <w:ilvl w:val="0"/>
          <w:numId w:val="61"/>
        </w:numPr>
        <w:spacing w:before="0" w:beforeAutospacing="off" w:after="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Mahsuplaşma yapısı:</w:t>
      </w:r>
      <w:r w:rsidRPr="1F3CDA55" w:rsidR="5C7F761A">
        <w:rPr>
          <w:rFonts w:ascii="Arial" w:hAnsi="Arial" w:eastAsia="Arial" w:cs="Arial"/>
          <w:i w:val="0"/>
          <w:iCs w:val="0"/>
          <w:noProof w:val="0"/>
          <w:color w:val="auto"/>
          <w:sz w:val="22"/>
          <w:szCs w:val="22"/>
          <w:lang w:val="tr-TR"/>
        </w:rPr>
        <w:t xml:space="preserve"> Bu Yönetmelik çerçevesinde, dağıtım ve/veya iletim sisteminde yeterli kapasitenin bulunması hâlinde, bir tüketim tesisi için aynı mahsuplaşma ve destekleme yapısına sahip birden fazla yenilenebilir enerji kaynağına dayalı üretim tesisi ve/veya aynı ölçüm noktasında birden fazla kojenerasyon tesisi kurulmasına izin verilebilmektedir. Bununla birlikte, her bir tüketim tesisi için kurulabilecek üretim tesislerinin toplam kurulu gücü yönetmelikte belirlenen azami kapasiteyi aşamaz. </w:t>
      </w:r>
    </w:p>
    <w:p w:rsidR="02232A49" w:rsidP="1F3CDA55" w:rsidRDefault="02232A49" w14:paraId="7E2F7FDF" w14:textId="4F88B6B2">
      <w:pPr>
        <w:pStyle w:val="ListeParagraf"/>
        <w:numPr>
          <w:ilvl w:val="0"/>
          <w:numId w:val="61"/>
        </w:numPr>
        <w:spacing w:before="0" w:beforeAutospacing="off" w:after="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Kurulu güç sınırları:</w:t>
      </w:r>
      <w:r w:rsidRPr="1F3CDA55" w:rsidR="5C7F761A">
        <w:rPr>
          <w:rFonts w:ascii="Arial" w:hAnsi="Arial" w:eastAsia="Arial" w:cs="Arial"/>
          <w:i w:val="0"/>
          <w:iCs w:val="0"/>
          <w:noProof w:val="0"/>
          <w:color w:val="auto"/>
          <w:sz w:val="22"/>
          <w:szCs w:val="22"/>
          <w:lang w:val="tr-TR"/>
        </w:rPr>
        <w:t xml:space="preserve"> Yenilenebilir enerji kaynaklarına dayalı üretim tesislerinde kurulu güç 1 MW’ı (veya Kanunun 14. maddesi uyarınca Cumhurbaşkanı tarafından belirlenen üst sınırı) geçemez. Ancak Yönetmeliğin 5. maddesinin birinci fıkrasının (a), (b), (ç), (d), (f), (g), (ğ), (h), (ı) ve (i) bentleri kapsamındaki üretim tesisleri bakımından kurulu güç üst sınırı uygulanmamaktadır. </w:t>
      </w:r>
    </w:p>
    <w:p w:rsidR="02232A49" w:rsidP="1F3CDA55" w:rsidRDefault="02232A49" w14:paraId="35B088C2" w14:textId="3DB85A01">
      <w:pPr>
        <w:pStyle w:val="ListeParagraf"/>
        <w:numPr>
          <w:ilvl w:val="0"/>
          <w:numId w:val="61"/>
        </w:numPr>
        <w:spacing w:before="0" w:beforeAutospacing="off" w:after="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İhtiyaç fazlası enerji:</w:t>
      </w:r>
      <w:r w:rsidRPr="1F3CDA55" w:rsidR="5C7F761A">
        <w:rPr>
          <w:rFonts w:ascii="Arial" w:hAnsi="Arial" w:eastAsia="Arial" w:cs="Arial"/>
          <w:i w:val="0"/>
          <w:iCs w:val="0"/>
          <w:noProof w:val="0"/>
          <w:color w:val="auto"/>
          <w:sz w:val="22"/>
          <w:szCs w:val="22"/>
          <w:lang w:val="tr-TR"/>
        </w:rPr>
        <w:t xml:space="preserve"> Önlisans ve lisans alma yükümlülüğünden muaf olan yenilenebilir enerji kaynaklarına dayalı üretim tesislerinde üretilen ve ihtiyaç fazlası olan elektrik enerjisinin sisteme verilmesi hâlinde, söz konusu enerji ilgili görevli tedarik şirketi aracılığıyla Yenilenebilir Enerji Kaynakları Destekleme Mekanizması (YEKDEM) kapsamında değerlendirilmektedir. </w:t>
      </w:r>
    </w:p>
    <w:p w:rsidR="02232A49" w:rsidP="1F3CDA55" w:rsidRDefault="02232A49" w14:paraId="1F5ED571" w14:textId="08F3BC07">
      <w:pPr>
        <w:pStyle w:val="ListeParagraf"/>
        <w:numPr>
          <w:ilvl w:val="0"/>
          <w:numId w:val="61"/>
        </w:numPr>
        <w:spacing w:before="0" w:beforeAutospacing="off" w:after="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Piyasa satışı yasağı:</w:t>
      </w:r>
      <w:r w:rsidRPr="1F3CDA55" w:rsidR="5C7F761A">
        <w:rPr>
          <w:rFonts w:ascii="Arial" w:hAnsi="Arial" w:eastAsia="Arial" w:cs="Arial"/>
          <w:i w:val="0"/>
          <w:iCs w:val="0"/>
          <w:noProof w:val="0"/>
          <w:color w:val="auto"/>
          <w:sz w:val="22"/>
          <w:szCs w:val="22"/>
          <w:lang w:val="tr-TR"/>
        </w:rPr>
        <w:t xml:space="preserve"> Lisanssız üretim yapan kişiler, ürettikleri elektrik enerjisini ikili anlaşmalar veya organize toptan satış piyasasında satamazlar. </w:t>
      </w:r>
    </w:p>
    <w:p w:rsidR="02232A49" w:rsidP="1F3CDA55" w:rsidRDefault="02232A49" w14:paraId="6A7C9057" w14:textId="582252A8">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Genel Değerlendirme</w:t>
      </w:r>
    </w:p>
    <w:p w:rsidR="02232A49" w:rsidP="1F3CDA55" w:rsidRDefault="02232A49" w14:paraId="118B9456" w14:textId="0E4AEADF">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Elektrik Piyasasında Lisanssız Elektrik Üretim Yönetmeliği’nin 5. maddesi, küçük ölçekli üreticilerin piyasaya girişini kolaylaştıran, yenilenebilir enerji yatırımlarını teşvik eden ve yerel aktörlerin enerji piyasasında daha etkin rol almasını sağlayan bir düzenleme niteliğindedir. Bununla birlikte, muafiyet hükümleri kapsam dışında kalan projeler bakımından bağlayıcılığını korumaktadır.</w:t>
      </w:r>
    </w:p>
    <w:p w:rsidR="02232A49" w:rsidP="1F3CDA55" w:rsidRDefault="02232A49" w14:paraId="522BF009" w14:textId="5846A65B">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i w:val="0"/>
          <w:iCs w:val="0"/>
          <w:noProof w:val="0"/>
          <w:color w:val="auto"/>
          <w:sz w:val="22"/>
          <w:szCs w:val="22"/>
          <w:lang w:val="tr-TR"/>
        </w:rPr>
        <w:t>Bu nedenle, her yatırım planında tesisin ilgili düzenleme kapsamında olup olmadığının ayrıntılı şekilde incelenmesi, tesis türlerinin doğru kategorize edilmesi ve başvuru süreçlerinin mevzuata uygun şekilde yürütülmesi gerekmektedir. Bu süreçte yatırımcıların hukuki danışmanlık almaları önem arz etmektedir.</w:t>
      </w:r>
    </w:p>
    <w:p w:rsidR="02232A49" w:rsidP="1F3CDA55" w:rsidRDefault="02232A49" w14:paraId="0B1C3BB6" w14:textId="6FE215C6">
      <w:pPr>
        <w:spacing w:before="240" w:beforeAutospacing="off" w:after="240" w:afterAutospacing="off"/>
        <w:jc w:val="both"/>
        <w:rPr>
          <w:rFonts w:ascii="Arial" w:hAnsi="Arial" w:eastAsia="Arial" w:cs="Arial"/>
          <w:i w:val="0"/>
          <w:iCs w:val="0"/>
          <w:noProof w:val="0"/>
          <w:color w:val="auto"/>
          <w:sz w:val="22"/>
          <w:szCs w:val="22"/>
          <w:lang w:val="tr-TR"/>
        </w:rPr>
      </w:pPr>
      <w:r w:rsidRPr="1F3CDA55" w:rsidR="5C7F761A">
        <w:rPr>
          <w:rFonts w:ascii="Arial" w:hAnsi="Arial" w:eastAsia="Arial" w:cs="Arial"/>
          <w:b w:val="1"/>
          <w:bCs w:val="1"/>
          <w:i w:val="0"/>
          <w:iCs w:val="0"/>
          <w:noProof w:val="0"/>
          <w:color w:val="auto"/>
          <w:sz w:val="22"/>
          <w:szCs w:val="22"/>
          <w:lang w:val="tr-TR"/>
        </w:rPr>
        <w:t>Kaynak:</w:t>
      </w:r>
      <w:r w:rsidRPr="1F3CDA55" w:rsidR="5C7F761A">
        <w:rPr>
          <w:rFonts w:ascii="Arial" w:hAnsi="Arial" w:eastAsia="Arial" w:cs="Arial"/>
          <w:i w:val="0"/>
          <w:iCs w:val="0"/>
          <w:noProof w:val="0"/>
          <w:color w:val="auto"/>
          <w:sz w:val="22"/>
          <w:szCs w:val="22"/>
          <w:lang w:val="tr-TR"/>
        </w:rPr>
        <w:t xml:space="preserve"> Elektrik Piyasasında Lisanssız Elektrik Üretim Yönetmeliği</w:t>
      </w:r>
    </w:p>
    <w:p w:rsidR="7AE2C74C" w:rsidP="1F3CDA55" w:rsidRDefault="7AE2C74C" w14:paraId="5B8B9070" w14:textId="13A30254">
      <w:pPr>
        <w:pStyle w:val="paragraph"/>
        <w:spacing w:before="0" w:beforeAutospacing="off" w:after="0" w:afterAutospacing="off"/>
        <w:jc w:val="both"/>
        <w:rPr>
          <w:rStyle w:val="eop"/>
          <w:rFonts w:ascii="Arial" w:hAnsi="Arial" w:eastAsia="Arial" w:cs="Arial"/>
          <w:i w:val="0"/>
          <w:iCs w:val="0"/>
          <w:color w:val="auto"/>
          <w:sz w:val="22"/>
          <w:szCs w:val="22"/>
        </w:rPr>
      </w:pPr>
    </w:p>
    <w:p w:rsidRPr="00D3199E" w:rsidR="00FC6C0A" w:rsidP="1F3CDA55" w:rsidRDefault="00FC6C0A" w14:paraId="6D02DE26" w14:textId="77777777">
      <w:pPr>
        <w:jc w:val="both"/>
        <w:rPr>
          <w:rFonts w:ascii="Arial" w:hAnsi="Arial" w:eastAsia="Arial" w:cs="Arial"/>
          <w:i w:val="0"/>
          <w:iCs w:val="0"/>
          <w:color w:val="auto"/>
          <w:sz w:val="22"/>
          <w:szCs w:val="22"/>
          <w:lang w:val="tr-TR"/>
        </w:rPr>
      </w:pPr>
      <w:r w:rsidRPr="1F3CDA55">
        <w:rPr>
          <w:rFonts w:ascii="Arial" w:hAnsi="Arial" w:eastAsia="Arial" w:cs="Arial"/>
          <w:i w:val="0"/>
          <w:iCs w:val="0"/>
          <w:color w:val="auto"/>
          <w:sz w:val="22"/>
          <w:szCs w:val="22"/>
          <w:lang w:val="tr-TR"/>
        </w:rPr>
        <w:br w:type="page"/>
      </w:r>
    </w:p>
    <w:p w:rsidR="5E77959B" w:rsidP="1F3CDA55" w:rsidRDefault="5E77959B" w14:paraId="6EC2AD85" w14:textId="3BD8EEDC">
      <w:pPr>
        <w:spacing w:before="240" w:beforeAutospacing="off" w:after="240" w:afterAutospacing="off"/>
        <w:jc w:val="both"/>
        <w:rPr>
          <w:rFonts w:ascii="Arial" w:hAnsi="Arial" w:eastAsia="Arial" w:cs="Arial"/>
          <w:b w:val="1"/>
          <w:bCs w:val="1"/>
          <w:i w:val="0"/>
          <w:iCs w:val="0"/>
          <w:noProof w:val="0"/>
          <w:color w:val="auto"/>
          <w:sz w:val="22"/>
          <w:szCs w:val="22"/>
          <w:lang w:val="tr-TR"/>
        </w:rPr>
      </w:pPr>
      <w:r w:rsidRPr="1F3CDA55" w:rsidR="117C6BC1">
        <w:rPr>
          <w:rFonts w:ascii="Arial" w:hAnsi="Arial" w:eastAsia="Arial" w:cs="Arial"/>
          <w:b w:val="1"/>
          <w:bCs w:val="1"/>
          <w:i w:val="0"/>
          <w:iCs w:val="0"/>
          <w:noProof w:val="0"/>
          <w:color w:val="auto"/>
          <w:sz w:val="22"/>
          <w:szCs w:val="22"/>
          <w:lang w:val="tr-TR"/>
        </w:rPr>
        <w:t>ENERJİ PİYASASINDA LİSANS YÜKÜMLÜLÜKLERİ</w:t>
      </w:r>
    </w:p>
    <w:p w:rsidR="5E77959B" w:rsidP="1F3CDA55" w:rsidRDefault="5E77959B" w14:paraId="0DAFCD7B" w14:textId="65581929">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Enerji piyasasında faaliyet göstermek isteyen tüzel kişilerin temel yükümlülüklerinden biri, ilgili mevzuat hükümleri uyarınca lisans alma zorunluluğudur. Bu yükümlülük, 6446 sayılı Elektrik Piyasası Kanunu’nun 4. ve 5. maddeleri başta olmak üzere ilgili düzenlemelerle açıkça hüküm altına alınmıştır.</w:t>
      </w:r>
    </w:p>
    <w:p w:rsidR="5E77959B" w:rsidP="1F3CDA55" w:rsidRDefault="5E77959B" w14:paraId="4963BE84" w14:textId="0EB72FF9">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117C6BC1">
        <w:rPr>
          <w:rFonts w:ascii="Arial" w:hAnsi="Arial" w:eastAsia="Arial" w:cs="Arial"/>
          <w:b w:val="1"/>
          <w:bCs w:val="1"/>
          <w:i w:val="0"/>
          <w:iCs w:val="0"/>
          <w:noProof w:val="0"/>
          <w:color w:val="auto"/>
          <w:sz w:val="22"/>
          <w:szCs w:val="22"/>
          <w:lang w:val="tr-TR"/>
        </w:rPr>
        <w:t>Lisansa Tabi Faaliyetler</w:t>
      </w:r>
    </w:p>
    <w:p w:rsidR="5E77959B" w:rsidP="1F3CDA55" w:rsidRDefault="5E77959B" w14:paraId="43451C68" w14:textId="4577ED5F">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6446 sayılı Elektrik Piyasası Kanunu’nun 4. maddesi uyarınca, elektrik piyasasında lisans alınmak suretiyle yürütülebilecek faaliyetler aşağıda sayılmıştır:</w:t>
      </w:r>
    </w:p>
    <w:p w:rsidR="5E77959B" w:rsidP="1F3CDA55" w:rsidRDefault="5E77959B" w14:paraId="0EA1AE0A" w14:textId="6437F3E2">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Üretim faaliyetleri </w:t>
      </w:r>
    </w:p>
    <w:p w:rsidR="5E77959B" w:rsidP="1F3CDA55" w:rsidRDefault="5E77959B" w14:paraId="126EDA71" w14:textId="37E81045">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İletim faaliyetleri </w:t>
      </w:r>
    </w:p>
    <w:p w:rsidR="5E77959B" w:rsidP="1F3CDA55" w:rsidRDefault="5E77959B" w14:paraId="591F2D41" w14:textId="144A918F">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Dağıtım faaliyetleri </w:t>
      </w:r>
    </w:p>
    <w:p w:rsidR="5E77959B" w:rsidP="1F3CDA55" w:rsidRDefault="5E77959B" w14:paraId="3292C82C" w14:textId="32F57D0A">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Toptan satış faaliyetleri </w:t>
      </w:r>
    </w:p>
    <w:p w:rsidR="5E77959B" w:rsidP="1F3CDA55" w:rsidRDefault="5E77959B" w14:paraId="0D619BCE" w14:textId="27842A11">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Perakende satış faaliyetleri </w:t>
      </w:r>
    </w:p>
    <w:p w:rsidR="5E77959B" w:rsidP="1F3CDA55" w:rsidRDefault="5E77959B" w14:paraId="6839C2FC" w14:textId="705FDF7A">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Piyasa işletim faaliyetleri </w:t>
      </w:r>
    </w:p>
    <w:p w:rsidR="5E77959B" w:rsidP="1F3CDA55" w:rsidRDefault="5E77959B" w14:paraId="34898645" w14:textId="7A90627C">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İthalat faaliyetleri </w:t>
      </w:r>
    </w:p>
    <w:p w:rsidR="5E77959B" w:rsidP="1F3CDA55" w:rsidRDefault="5E77959B" w14:paraId="78004240" w14:textId="2FE5875A">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İhracat faaliyetleri </w:t>
      </w:r>
    </w:p>
    <w:p w:rsidR="5E77959B" w:rsidP="1F3CDA55" w:rsidRDefault="5E77959B" w14:paraId="736331D1" w14:textId="7CD3EDE7">
      <w:pPr>
        <w:pStyle w:val="ListeParagraf"/>
        <w:numPr>
          <w:ilvl w:val="0"/>
          <w:numId w:val="62"/>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Toplayıcılık faaliyetleri </w:t>
      </w:r>
    </w:p>
    <w:p w:rsidR="5E77959B" w:rsidP="1F3CDA55" w:rsidRDefault="5E77959B" w14:paraId="68A91FDB" w14:textId="46EAA9AA">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Anılan faaliyetlerden herhangi birini yürütecek olan tüzel kişiler, faaliyete başlamadan önce lisans almakla yükümlüdür. Ayrıca birden fazla tesiste yürütülecek faaliyetler bakımından, her bir tesis için ayrı ayrı lisans alınması gerekmektedir.</w:t>
      </w:r>
    </w:p>
    <w:p w:rsidR="5E77959B" w:rsidP="1F3CDA55" w:rsidRDefault="5E77959B" w14:paraId="42FC5731" w14:textId="6C227F67">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117C6BC1">
        <w:rPr>
          <w:rFonts w:ascii="Arial" w:hAnsi="Arial" w:eastAsia="Arial" w:cs="Arial"/>
          <w:b w:val="1"/>
          <w:bCs w:val="1"/>
          <w:i w:val="0"/>
          <w:iCs w:val="0"/>
          <w:noProof w:val="0"/>
          <w:color w:val="auto"/>
          <w:sz w:val="22"/>
          <w:szCs w:val="22"/>
          <w:lang w:val="tr-TR"/>
        </w:rPr>
        <w:t>Lisansların Esasları</w:t>
      </w:r>
    </w:p>
    <w:p w:rsidR="5E77959B" w:rsidP="1F3CDA55" w:rsidRDefault="5E77959B" w14:paraId="3E106E85" w14:textId="0428C062">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Elektrik piyasasında verilen lisanslara ilişkin esaslar 6446 sayılı Elektrik Piyasası Kanunu’nun 5. maddesinde düzenlenmiştir. Buna göre:</w:t>
      </w:r>
    </w:p>
    <w:p w:rsidR="5E77959B" w:rsidP="1F3CDA55" w:rsidRDefault="5E77959B" w14:paraId="0DE072C6" w14:textId="60926E62">
      <w:pPr>
        <w:pStyle w:val="ListeParagraf"/>
        <w:numPr>
          <w:ilvl w:val="0"/>
          <w:numId w:val="63"/>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Lisanslar en fazla 49 yıl süre ile verilmektedir. </w:t>
      </w:r>
    </w:p>
    <w:p w:rsidR="5E77959B" w:rsidP="1F3CDA55" w:rsidRDefault="5E77959B" w14:paraId="0B257F92" w14:textId="332F3C96">
      <w:pPr>
        <w:pStyle w:val="ListeParagraf"/>
        <w:numPr>
          <w:ilvl w:val="0"/>
          <w:numId w:val="63"/>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Üretim, iletim ve dağıtım lisanslarında asgari süre 10 yıl olarak öngörülmüştür. </w:t>
      </w:r>
    </w:p>
    <w:p w:rsidR="5E77959B" w:rsidP="1F3CDA55" w:rsidRDefault="5E77959B" w14:paraId="7C04A791" w14:textId="3E7B55F5">
      <w:pPr>
        <w:pStyle w:val="ListeParagraf"/>
        <w:numPr>
          <w:ilvl w:val="0"/>
          <w:numId w:val="63"/>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Lisans başvurusu, tadili, sona ermesi ve iptaline ilişkin usul ve esaslar Enerji Piyasası Düzenleme Kurumu (EPDK) tarafından çıkarılan ikincil mevzuat ile belirlenmektedir. </w:t>
      </w:r>
    </w:p>
    <w:p w:rsidR="5E77959B" w:rsidP="1F3CDA55" w:rsidRDefault="5E77959B" w14:paraId="12AC6724" w14:textId="65665E7D">
      <w:pPr>
        <w:pStyle w:val="ListeParagraf"/>
        <w:numPr>
          <w:ilvl w:val="0"/>
          <w:numId w:val="63"/>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Lisans sahipleri, Enerji Piyasası Düzenleme Kurumu’nun (EPDK) denetim ve gözetimine tabi olup gerekli bilgi ve belgeleri eksiksiz olarak sunmakla yükümlüdür. </w:t>
      </w:r>
    </w:p>
    <w:p w:rsidR="5E77959B" w:rsidP="1F3CDA55" w:rsidRDefault="5E77959B" w14:paraId="5FA8F9EF" w14:textId="1701C004">
      <w:pPr>
        <w:pStyle w:val="ListeParagraf"/>
        <w:numPr>
          <w:ilvl w:val="0"/>
          <w:numId w:val="63"/>
        </w:numPr>
        <w:spacing w:before="0" w:beforeAutospacing="off" w:after="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 xml:space="preserve">Lisans bedelleri ile sermaye yeterliliğine ilişkin yükümlülükler faaliyet türüne göre belirlenmektedir. </w:t>
      </w:r>
    </w:p>
    <w:p w:rsidR="5E77959B" w:rsidP="1F3CDA55" w:rsidRDefault="5E77959B" w14:paraId="4FE521DC" w14:textId="443D3A97">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117C6BC1">
        <w:rPr>
          <w:rFonts w:ascii="Arial" w:hAnsi="Arial" w:eastAsia="Arial" w:cs="Arial"/>
          <w:b w:val="1"/>
          <w:bCs w:val="1"/>
          <w:i w:val="0"/>
          <w:iCs w:val="0"/>
          <w:noProof w:val="0"/>
          <w:color w:val="auto"/>
          <w:sz w:val="22"/>
          <w:szCs w:val="22"/>
          <w:lang w:val="tr-TR"/>
        </w:rPr>
        <w:t>Önlisans Süreci</w:t>
      </w:r>
    </w:p>
    <w:p w:rsidR="5E77959B" w:rsidP="1F3CDA55" w:rsidRDefault="5E77959B" w14:paraId="26603CE5" w14:textId="6C3D9219">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6446 sayılı Elektrik Piyasası Kanunu’nun 6. maddesi uyarınca, üretim lisansı başvurusunda bulunan tüzel kişilere, üretim tesisi yatırımına başlanabilmesi için gerekli olan izin, onay, ruhsat ve benzeri belgelerin temin edilmesi ile üretim tesisinin kurulacağı sahanın mülkiyet veya kullanım hakkının elde edilebilmesini sağlamak amacıyla Enerji Piyasası Düzenleme Kurumu (EPDK) tarafından belirli süreli önlisans verilmektedir.</w:t>
      </w:r>
    </w:p>
    <w:p w:rsidR="5E77959B" w:rsidP="1F3CDA55" w:rsidRDefault="5E77959B" w14:paraId="33208784" w14:textId="5D3314D9">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Önlisans</w:t>
      </w:r>
      <w:r w:rsidRPr="1F3CDA55" w:rsidR="117C6BC1">
        <w:rPr>
          <w:rFonts w:ascii="Arial" w:hAnsi="Arial" w:eastAsia="Arial" w:cs="Arial"/>
          <w:i w:val="0"/>
          <w:iCs w:val="0"/>
          <w:noProof w:val="0"/>
          <w:color w:val="auto"/>
          <w:sz w:val="22"/>
          <w:szCs w:val="22"/>
          <w:lang w:val="tr-TR"/>
        </w:rPr>
        <w:t xml:space="preserve"> süresi, mücbir sebep halleri hariç olmak üzere yirmi dört ayı geçemez. Kurul, kaynak türü ve kurulu güce bağlı olarak bu süreyi yarısı oranında uzatmaya yetkilidir.</w:t>
      </w:r>
    </w:p>
    <w:p w:rsidR="5E77959B" w:rsidP="1F3CDA55" w:rsidRDefault="5E77959B" w14:paraId="49C28DE6" w14:textId="0411A06D">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117C6BC1">
        <w:rPr>
          <w:rFonts w:ascii="Arial" w:hAnsi="Arial" w:eastAsia="Arial" w:cs="Arial"/>
          <w:b w:val="1"/>
          <w:bCs w:val="1"/>
          <w:i w:val="0"/>
          <w:iCs w:val="0"/>
          <w:noProof w:val="0"/>
          <w:color w:val="auto"/>
          <w:sz w:val="22"/>
          <w:szCs w:val="22"/>
          <w:lang w:val="tr-TR"/>
        </w:rPr>
        <w:t>Lisanssız Yürütülebilecek Faaliyetler</w:t>
      </w:r>
    </w:p>
    <w:p w:rsidR="5E77959B" w:rsidP="1F3CDA55" w:rsidRDefault="5E77959B" w14:paraId="1DE76BE3" w14:textId="23639EA2">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6446 sayılı Elektrik Piyasası Kanunu’nun 14. maddesi uyarınca, bazı faaliyetler lisans alma ve şirket kurma yükümlülüğünden muaf tutulmuştur.</w:t>
      </w:r>
    </w:p>
    <w:p w:rsidR="5E77959B" w:rsidP="1F3CDA55" w:rsidRDefault="5E77959B" w14:paraId="4744D9D2" w14:textId="0361E45C">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Bu kapsamda; imdat grupları, iletim veya dağıtım sistemi ile bağlantısı bulunmayan üretim tesisleri, kurulu gücü azami bir megavat olan yenilenebilir enerji kaynaklarına dayalı üretim tesisleri ile belediyelerin katı atık tesisleri ve arıtma tesisi çamurlarının bertarafında kullanılmak üzere kurulan elektrik üretim tesisleri lisans yükümlülüğünden muaf tutulmaktadır.</w:t>
      </w:r>
    </w:p>
    <w:p w:rsidR="5E77959B" w:rsidP="1F3CDA55" w:rsidRDefault="5E77959B" w14:paraId="35ADC8AC" w14:textId="1DD46A00">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Diğer muafiyet halleri ise kanunda ayrıntılı olarak düzenlenmiştir.</w:t>
      </w:r>
    </w:p>
    <w:p w:rsidR="5E77959B" w:rsidP="1F3CDA55" w:rsidRDefault="5E77959B" w14:paraId="5F4AE533" w14:textId="5142334B">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117C6BC1">
        <w:rPr>
          <w:rFonts w:ascii="Arial" w:hAnsi="Arial" w:eastAsia="Arial" w:cs="Arial"/>
          <w:b w:val="1"/>
          <w:bCs w:val="1"/>
          <w:i w:val="0"/>
          <w:iCs w:val="0"/>
          <w:noProof w:val="0"/>
          <w:color w:val="auto"/>
          <w:sz w:val="22"/>
          <w:szCs w:val="22"/>
          <w:lang w:val="tr-TR"/>
        </w:rPr>
        <w:t>Denetim ve Yaptırımlar</w:t>
      </w:r>
    </w:p>
    <w:p w:rsidR="5E77959B" w:rsidP="1F3CDA55" w:rsidRDefault="5E77959B" w14:paraId="082079CD" w14:textId="6E5FFC37">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6446 sayılı Elektrik Piyasası Kanunu’nun 15. ve 16. maddeleri uyarınca, elektrik piyasasına ilişkin faaliyetler Enerji Piyasası Düzenleme Kurumu (EPDK) tarafından denetlenmektedir. Dağıtım şirketleri bakımından ayrıca Bakanlık denetimi de söz konusudur.</w:t>
      </w:r>
    </w:p>
    <w:p w:rsidR="5E77959B" w:rsidP="1F3CDA55" w:rsidRDefault="5E77959B" w14:paraId="6F319EB3" w14:textId="29BC786F">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İkincil mevzuat hükümlerine, lisans şartlarına, Kurul kararlarına veya talimatlara aykırı hareket edilmesi halinde, aykırılığın niteliğine göre ilgililere otuz gün içinde aykırılığın giderilmesi veya tekrarlanmaması yönünde ihtarda bulunulur.</w:t>
      </w:r>
    </w:p>
    <w:p w:rsidR="5E77959B" w:rsidP="1F3CDA55" w:rsidRDefault="5E77959B" w14:paraId="5B8D9C55" w14:textId="028586AB">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Yapılan yazılı ihtara rağmen aykırılığın giderilmemesi veya tekrarlanması halinde idari para cezası uygulanmaktadır. Tekerrür eden ihlallerde idari yaptırımların artırılması söz konusu olup, süreç lisansın iptaline kadar ilerleyebilmektedir.</w:t>
      </w:r>
    </w:p>
    <w:p w:rsidR="5E77959B" w:rsidP="1F3CDA55" w:rsidRDefault="5E77959B" w14:paraId="00FA0706" w14:textId="1082BB04">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117C6BC1">
        <w:rPr>
          <w:rFonts w:ascii="Arial" w:hAnsi="Arial" w:eastAsia="Arial" w:cs="Arial"/>
          <w:b w:val="1"/>
          <w:bCs w:val="1"/>
          <w:i w:val="0"/>
          <w:iCs w:val="0"/>
          <w:noProof w:val="0"/>
          <w:color w:val="auto"/>
          <w:sz w:val="22"/>
          <w:szCs w:val="22"/>
          <w:lang w:val="tr-TR"/>
        </w:rPr>
        <w:t>Kısa Değerlendirme</w:t>
      </w:r>
    </w:p>
    <w:p w:rsidR="5E77959B" w:rsidP="1F3CDA55" w:rsidRDefault="5E77959B" w14:paraId="31DB5A28" w14:textId="32CBEA11">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Enerji piyasasında faaliyet gösterecek şirketler bakımından lisans yükümlülükleri, yalnızca idari bir formalite niteliğinde olmayıp; piyasanın düzenli, şeffaf ve rekabetçi bir şekilde işlemesini sağlayan temel unsurlardan biridir. 6446 sayılı Elektrik Piyasası Kanunu, lisansa tabi faaliyetleri ayrıntılı biçimde belirlemiş, lisans muafiyetlerini sınırlı olarak düzenlemiş ve denetim ile yaptırım mekanizmalarını açık bir şekilde ortaya koymuştur.</w:t>
      </w:r>
    </w:p>
    <w:p w:rsidR="5E77959B" w:rsidP="1F3CDA55" w:rsidRDefault="5E77959B" w14:paraId="49EDC214" w14:textId="4758DA07">
      <w:pPr>
        <w:spacing w:before="240" w:beforeAutospacing="off" w:after="240" w:afterAutospacing="off"/>
        <w:jc w:val="both"/>
        <w:rPr>
          <w:rFonts w:ascii="Arial" w:hAnsi="Arial" w:eastAsia="Arial" w:cs="Arial"/>
          <w:i w:val="0"/>
          <w:iCs w:val="0"/>
          <w:noProof w:val="0"/>
          <w:color w:val="auto"/>
          <w:sz w:val="22"/>
          <w:szCs w:val="22"/>
          <w:lang w:val="tr-TR"/>
        </w:rPr>
      </w:pPr>
      <w:r w:rsidRPr="1F3CDA55" w:rsidR="117C6BC1">
        <w:rPr>
          <w:rFonts w:ascii="Arial" w:hAnsi="Arial" w:eastAsia="Arial" w:cs="Arial"/>
          <w:i w:val="0"/>
          <w:iCs w:val="0"/>
          <w:noProof w:val="0"/>
          <w:color w:val="auto"/>
          <w:sz w:val="22"/>
          <w:szCs w:val="22"/>
          <w:lang w:val="tr-TR"/>
        </w:rPr>
        <w:t>Bu çerçevede, enerji piyasasında yatırım yapmayı planlayan tüzel kişilerin lisans başvuru süreçlerini ve devam eden yükümlülüklerini dikkatle yönetmeleri, ilgili mevzuata tam uyum sağlamaları büyük önem arz etmektedir.</w:t>
      </w:r>
    </w:p>
    <w:p w:rsidR="7AE2C74C" w:rsidP="1F3CDA55" w:rsidRDefault="7AE2C74C" w14:paraId="4FEDB779" w14:textId="037ED99B">
      <w:pPr>
        <w:pStyle w:val="paragraph"/>
        <w:spacing w:before="0" w:beforeAutospacing="off" w:after="0" w:afterAutospacing="off"/>
        <w:jc w:val="both"/>
        <w:rPr>
          <w:rStyle w:val="eop"/>
          <w:rFonts w:ascii="Arial" w:hAnsi="Arial" w:eastAsia="Arial" w:cs="Arial"/>
          <w:i w:val="0"/>
          <w:iCs w:val="0"/>
          <w:color w:val="auto"/>
          <w:sz w:val="22"/>
          <w:szCs w:val="22"/>
        </w:rPr>
      </w:pPr>
    </w:p>
    <w:p w:rsidRPr="00D3199E" w:rsidR="00A955FC" w:rsidP="1F3CDA55" w:rsidRDefault="00A955FC" w14:paraId="1187C280" w14:textId="77777777">
      <w:pPr>
        <w:jc w:val="both"/>
        <w:rPr>
          <w:rFonts w:ascii="Arial" w:hAnsi="Arial" w:eastAsia="Arial" w:cs="Arial"/>
          <w:i w:val="0"/>
          <w:iCs w:val="0"/>
          <w:color w:val="auto"/>
          <w:sz w:val="22"/>
          <w:szCs w:val="22"/>
          <w:lang w:val="tr-TR"/>
        </w:rPr>
      </w:pPr>
      <w:r w:rsidRPr="1F3CDA55">
        <w:rPr>
          <w:rFonts w:ascii="Arial" w:hAnsi="Arial" w:eastAsia="Arial" w:cs="Arial"/>
          <w:i w:val="0"/>
          <w:iCs w:val="0"/>
          <w:color w:val="auto"/>
          <w:sz w:val="22"/>
          <w:szCs w:val="22"/>
          <w:lang w:val="tr-TR"/>
        </w:rPr>
        <w:br w:type="page"/>
      </w:r>
    </w:p>
    <w:p w:rsidRPr="00D3199E" w:rsidR="009E612E" w:rsidP="1F3CDA55" w:rsidRDefault="009E612E" w14:paraId="2FA5746C" w14:textId="2827DEBF">
      <w:pPr>
        <w:jc w:val="both"/>
        <w:rPr>
          <w:rFonts w:ascii="Arial" w:hAnsi="Arial" w:eastAsia="Arial" w:cs="Arial"/>
          <w:i w:val="0"/>
          <w:iCs w:val="0"/>
          <w:color w:val="auto"/>
          <w:sz w:val="22"/>
          <w:szCs w:val="22"/>
          <w:lang w:val="tr-TR"/>
        </w:rPr>
      </w:pPr>
      <w:r w:rsidRPr="1F3CDA55" w:rsidR="3574EC21">
        <w:rPr>
          <w:rFonts w:ascii="Arial" w:hAnsi="Arial" w:eastAsia="Arial" w:cs="Arial"/>
          <w:i w:val="0"/>
          <w:iCs w:val="0"/>
          <w:color w:val="auto"/>
          <w:sz w:val="22"/>
          <w:szCs w:val="22"/>
          <w:lang w:val="tr-TR"/>
        </w:rPr>
        <w:t>EYLÜL 2025</w:t>
      </w:r>
    </w:p>
    <w:p w:rsidR="25541962" w:rsidP="1F3CDA55" w:rsidRDefault="25541962" w14:paraId="1D4336B0" w14:textId="1DD3536D">
      <w:pPr>
        <w:spacing w:before="240" w:beforeAutospacing="off" w:after="240" w:afterAutospacing="off"/>
        <w:jc w:val="both"/>
        <w:rPr>
          <w:rFonts w:ascii="Arial" w:hAnsi="Arial" w:eastAsia="Arial" w:cs="Arial"/>
          <w:b w:val="1"/>
          <w:bCs w:val="1"/>
          <w:i w:val="0"/>
          <w:iCs w:val="0"/>
          <w:noProof w:val="0"/>
          <w:color w:val="auto"/>
          <w:sz w:val="22"/>
          <w:szCs w:val="22"/>
          <w:lang w:val="tr-TR"/>
        </w:rPr>
      </w:pPr>
      <w:r w:rsidRPr="1F3CDA55" w:rsidR="22D0E3CC">
        <w:rPr>
          <w:rFonts w:ascii="Arial" w:hAnsi="Arial" w:eastAsia="Arial" w:cs="Arial"/>
          <w:b w:val="1"/>
          <w:bCs w:val="1"/>
          <w:i w:val="0"/>
          <w:iCs w:val="0"/>
          <w:noProof w:val="0"/>
          <w:color w:val="auto"/>
          <w:sz w:val="22"/>
          <w:szCs w:val="22"/>
          <w:lang w:val="tr-TR"/>
        </w:rPr>
        <w:t>ENERJİ YATIRIMLARINDA ARAZİ TAHSİSİ VE KAMULAŞTIRMA SÜREÇLERİ</w:t>
      </w:r>
    </w:p>
    <w:p w:rsidR="25541962" w:rsidP="1F3CDA55" w:rsidRDefault="25541962" w14:paraId="020B66A4" w14:textId="0F9AC69B">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Enerji yatırımlarında projelerin hayata geçirilebilmesi bakımından en temel unsurlardan biri uygun araziye erişimdir. Bu nedenle arazi tahsisi ve kamulaştırma süreçleri, ilgili mevzuat hükümleri çerçevesinde ayrıntılı şekilde düzenlenmiş olup kamu yararı ilkesi doğrultusunda güvence altına alınmıştır.</w:t>
      </w:r>
    </w:p>
    <w:p w:rsidR="25541962" w:rsidP="1F3CDA55" w:rsidRDefault="25541962" w14:paraId="2B28D326" w14:textId="6D508415">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22D0E3CC">
        <w:rPr>
          <w:rFonts w:ascii="Arial" w:hAnsi="Arial" w:eastAsia="Arial" w:cs="Arial"/>
          <w:b w:val="1"/>
          <w:bCs w:val="1"/>
          <w:i w:val="0"/>
          <w:iCs w:val="0"/>
          <w:noProof w:val="0"/>
          <w:color w:val="auto"/>
          <w:sz w:val="22"/>
          <w:szCs w:val="22"/>
          <w:lang w:val="tr-TR"/>
        </w:rPr>
        <w:t>Arazi Tahsisi</w:t>
      </w:r>
    </w:p>
    <w:p w:rsidR="25541962" w:rsidP="1F3CDA55" w:rsidRDefault="25541962" w14:paraId="7E954863" w14:textId="03CC673B">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5346 sayılı Yenilenebilir Enerji Kaynaklarının Elektrik Enerjisi Üretimi Amaçlı Kullanımına İlişkin Kanun’un 8. maddesi uyarınca, orman vasfını haiz taşınmazlar ile Hazine’nin özel mülkiyetinde bulunan veya devletin hüküm ve tasarrufu altındaki taşınmazlar, yenilenebilir enerji kaynaklarına dayalı elektrik üretim tesislerinin kurulması amacıyla kullanılabilmektedir.</w:t>
      </w:r>
    </w:p>
    <w:p w:rsidR="25541962" w:rsidP="1F3CDA55" w:rsidRDefault="25541962" w14:paraId="1074DF75" w14:textId="1092068B">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Bu kapsamda, ilgili idareler tarafından bedeli karşılığında izin verilmesi, kiralama yapılması, irtifak hakkı tesis edilmesi veya kullanma izni sağlanması mümkündür.</w:t>
      </w:r>
    </w:p>
    <w:p w:rsidR="25541962" w:rsidP="1F3CDA55" w:rsidRDefault="25541962" w14:paraId="7960BE5D" w14:textId="2D018640">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Aynı madde kapsamında, 31/12/2030 tarihine kadar işletmeye girecek üretim tesisleri bakımından söz konusu bedellerde %85 oranında indirim uygulanacağı hüküm altına alınmıştır.</w:t>
      </w:r>
    </w:p>
    <w:p w:rsidR="25541962" w:rsidP="1F3CDA55" w:rsidRDefault="25541962" w14:paraId="43A50919" w14:textId="5E67962A">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Örneğin, bir rüzgâr enerji santrali projesi kapsamında Hazine’ye ait bir taşınmaz üzerinde yatırımcı lehine irtifak hakkı tesis edilebilir. Bu durumda mülkiyet hakkı devredilmeksizin, yatırımcıya lisans süresi boyunca taşınmazı kullanma imkânı tanınmaktadır.</w:t>
      </w:r>
    </w:p>
    <w:p w:rsidR="25541962" w:rsidP="1F3CDA55" w:rsidRDefault="25541962" w14:paraId="531F2DD3" w14:textId="1C1B983C">
      <w:pPr>
        <w:pStyle w:val="Balk3"/>
        <w:spacing w:before="281" w:beforeAutospacing="off" w:after="281" w:afterAutospacing="off"/>
        <w:jc w:val="both"/>
        <w:rPr>
          <w:rFonts w:ascii="Arial" w:hAnsi="Arial" w:eastAsia="Arial" w:cs="Arial"/>
          <w:b w:val="1"/>
          <w:bCs w:val="1"/>
          <w:i w:val="0"/>
          <w:iCs w:val="0"/>
          <w:noProof w:val="0"/>
          <w:color w:val="auto"/>
          <w:sz w:val="22"/>
          <w:szCs w:val="22"/>
          <w:lang w:val="tr-TR"/>
        </w:rPr>
      </w:pPr>
      <w:r w:rsidRPr="1F3CDA55" w:rsidR="22D0E3CC">
        <w:rPr>
          <w:rFonts w:ascii="Arial" w:hAnsi="Arial" w:eastAsia="Arial" w:cs="Arial"/>
          <w:b w:val="1"/>
          <w:bCs w:val="1"/>
          <w:i w:val="0"/>
          <w:iCs w:val="0"/>
          <w:noProof w:val="0"/>
          <w:color w:val="auto"/>
          <w:sz w:val="22"/>
          <w:szCs w:val="22"/>
          <w:lang w:val="tr-TR"/>
        </w:rPr>
        <w:t>Kamulaştırma</w:t>
      </w:r>
    </w:p>
    <w:p w:rsidR="25541962" w:rsidP="1F3CDA55" w:rsidRDefault="25541962" w14:paraId="234B7D04" w14:textId="316BC53C">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6446 sayılı Elektrik Piyasası Kanunu’nun 19. maddesi, üretim ve dağıtım lisansına sahip özel hukuk tüzel kişilerinin ihtiyaç duyduğu taşınmazların teminine ilişkin usul ve esasları düzenlemektedir.</w:t>
      </w:r>
    </w:p>
    <w:p w:rsidR="25541962" w:rsidP="1F3CDA55" w:rsidRDefault="25541962" w14:paraId="33FC7A9F" w14:textId="54772828">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Anılan hüküm uyarınca, kamulaştırma işlemleri üretim faaliyetleri bakımından Enerji Piyasası Düzenleme Kurumu (EPDK), dağıtım faaliyetleri bakımından ise Türkiye Elektrik Dağıtım A.Ş. (TEDAŞ) tarafından yürütülmektedir.</w:t>
      </w:r>
    </w:p>
    <w:p w:rsidR="25541962" w:rsidP="1F3CDA55" w:rsidRDefault="25541962" w14:paraId="72CA15A7" w14:textId="5B015C93">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Kurum tarafından alınan kararlar, kamu yararı kararı hükmünde olup ayrıca başka bir idari merciin onayına tabi değildir. Kamulaştırma sürecinin uygulanması aşamasında ise 2942 sayılı Kamulaştırma Kanunu hükümleri uygulanmaktadır.</w:t>
      </w:r>
    </w:p>
    <w:p w:rsidR="25541962" w:rsidP="1F3CDA55" w:rsidRDefault="25541962" w14:paraId="5522C85F" w14:textId="79F702E6">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Örneğin, bir elektrik iletim hattının tesis edilmesi amacıyla belirlenen güzergâh üzerinde özel mülkiyete konu taşınmazların bulunması halinde, Enerji Piyasası Düzenleme Kurumu (EPDK) tarafından kamu yararı kararı alınarak kamulaştırma süreci başlatılmaktadır. Taşınmazın bedelinin tespiti 2942 sayılı Kamulaştırma Kanunu hükümleri çerçevesinde yapılmakta; akabinde taşınmaz Hazine adına tescil edilerek lisans sahibi tüzel kişi lehine kullanım hakkı tesis edilmektedir.</w:t>
      </w:r>
    </w:p>
    <w:p w:rsidR="25541962" w:rsidP="1F3CDA55" w:rsidRDefault="25541962" w14:paraId="4DF05E0D" w14:textId="2875CAF6">
      <w:pPr>
        <w:spacing w:before="240" w:beforeAutospacing="off" w:after="240" w:afterAutospacing="off"/>
        <w:jc w:val="both"/>
        <w:rPr>
          <w:rFonts w:ascii="Arial" w:hAnsi="Arial" w:eastAsia="Arial" w:cs="Arial"/>
          <w:b w:val="1"/>
          <w:bCs w:val="1"/>
          <w:i w:val="0"/>
          <w:iCs w:val="0"/>
          <w:noProof w:val="0"/>
          <w:color w:val="auto"/>
          <w:sz w:val="22"/>
          <w:szCs w:val="22"/>
          <w:lang w:val="tr-TR"/>
        </w:rPr>
      </w:pPr>
      <w:r w:rsidRPr="1F3CDA55" w:rsidR="22D0E3CC">
        <w:rPr>
          <w:rFonts w:ascii="Arial" w:hAnsi="Arial" w:eastAsia="Arial" w:cs="Arial"/>
          <w:b w:val="1"/>
          <w:bCs w:val="1"/>
          <w:i w:val="0"/>
          <w:iCs w:val="0"/>
          <w:noProof w:val="0"/>
          <w:color w:val="auto"/>
          <w:sz w:val="22"/>
          <w:szCs w:val="22"/>
          <w:lang w:val="tr-TR"/>
        </w:rPr>
        <w:t>Genel Değerlendirme</w:t>
      </w:r>
    </w:p>
    <w:p w:rsidR="25541962" w:rsidP="1F3CDA55" w:rsidRDefault="25541962" w14:paraId="2DF1681A" w14:textId="4B4D76DF">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Enerji yatırımlarında arazi tahsisi ve kamulaştırma süreçleri, yatırımcıların karşılaştığı en kritik hukuki aşamalardan birini oluşturmaktadır. Bu süreçlerin mevzuata uygun ve etkin şekilde yönetilmesi, hem proje finansmanı hem de uygulama aşamasında ortaya çıkabilecek gecikmelerin ve uyuşmazlıkların önlenmesi bakımından büyük önem arz etmektedir.</w:t>
      </w:r>
    </w:p>
    <w:p w:rsidR="25541962" w:rsidP="1F3CDA55" w:rsidRDefault="25541962" w14:paraId="03455D2A" w14:textId="323973D2">
      <w:pPr>
        <w:spacing w:before="240" w:beforeAutospacing="off" w:after="240" w:afterAutospacing="off"/>
        <w:jc w:val="both"/>
        <w:rPr>
          <w:rFonts w:ascii="Arial" w:hAnsi="Arial" w:eastAsia="Arial" w:cs="Arial"/>
          <w:i w:val="0"/>
          <w:iCs w:val="0"/>
          <w:noProof w:val="0"/>
          <w:color w:val="auto"/>
          <w:sz w:val="22"/>
          <w:szCs w:val="22"/>
          <w:lang w:val="tr-TR"/>
        </w:rPr>
      </w:pPr>
      <w:r w:rsidRPr="1F3CDA55" w:rsidR="22D0E3CC">
        <w:rPr>
          <w:rFonts w:ascii="Arial" w:hAnsi="Arial" w:eastAsia="Arial" w:cs="Arial"/>
          <w:i w:val="0"/>
          <w:iCs w:val="0"/>
          <w:noProof w:val="0"/>
          <w:color w:val="auto"/>
          <w:sz w:val="22"/>
          <w:szCs w:val="22"/>
          <w:lang w:val="tr-TR"/>
        </w:rPr>
        <w:t>İlgili kanunlar ile öngörülen özel düzenlemeler, kamu yararı ile özel teşebbüs özgürlüğü arasındaki dengeyi sağlamaya yönelik olup, aynı zamanda yatırımcılar açısından öngörülebilir bir hukuki çerçeve sunmaktadır.</w:t>
      </w:r>
    </w:p>
    <w:p w:rsidR="7AE2C74C" w:rsidP="1F3CDA55" w:rsidRDefault="7AE2C74C" w14:paraId="218B9C32" w14:textId="5908E528">
      <w:pPr>
        <w:pStyle w:val="paragraph"/>
        <w:spacing w:before="0" w:beforeAutospacing="off" w:after="0" w:afterAutospacing="off"/>
        <w:jc w:val="both"/>
        <w:rPr>
          <w:rStyle w:val="eop"/>
          <w:rFonts w:ascii="Arial" w:hAnsi="Arial" w:eastAsia="Arial" w:cs="Arial"/>
          <w:i w:val="0"/>
          <w:iCs w:val="0"/>
          <w:color w:val="auto"/>
          <w:sz w:val="22"/>
          <w:szCs w:val="22"/>
        </w:rPr>
      </w:pPr>
    </w:p>
    <w:p w:rsidRPr="00D3199E" w:rsidR="00A955FC" w:rsidP="1F3CDA55" w:rsidRDefault="00A955FC" w14:paraId="6B8B882C" w14:textId="77777777">
      <w:pPr>
        <w:jc w:val="both"/>
        <w:rPr>
          <w:rFonts w:ascii="Arial" w:hAnsi="Arial" w:eastAsia="Arial" w:cs="Arial"/>
          <w:i w:val="0"/>
          <w:iCs w:val="0"/>
          <w:color w:val="auto"/>
          <w:sz w:val="22"/>
          <w:szCs w:val="22"/>
          <w:lang w:val="tr-TR"/>
        </w:rPr>
      </w:pPr>
      <w:r w:rsidRPr="1F3CDA55">
        <w:rPr>
          <w:rFonts w:ascii="Arial" w:hAnsi="Arial" w:eastAsia="Arial" w:cs="Arial"/>
          <w:i w:val="0"/>
          <w:iCs w:val="0"/>
          <w:color w:val="auto"/>
          <w:sz w:val="22"/>
          <w:szCs w:val="22"/>
          <w:lang w:val="tr-TR"/>
        </w:rPr>
        <w:br w:type="page"/>
      </w:r>
    </w:p>
    <w:p w:rsidRPr="00D3199E" w:rsidR="009E612E" w:rsidP="1F3CDA55" w:rsidRDefault="009E612E" w14:paraId="7BD34324" w14:textId="712F83B9">
      <w:pPr>
        <w:jc w:val="both"/>
        <w:rPr>
          <w:rFonts w:ascii="Arial" w:hAnsi="Arial" w:eastAsia="Arial" w:cs="Arial"/>
          <w:i w:val="0"/>
          <w:iCs w:val="0"/>
          <w:color w:val="auto"/>
          <w:sz w:val="22"/>
          <w:szCs w:val="22"/>
          <w:lang w:val="tr-TR"/>
        </w:rPr>
      </w:pPr>
      <w:r w:rsidRPr="1F3CDA55" w:rsidR="3574EC21">
        <w:rPr>
          <w:rFonts w:ascii="Arial" w:hAnsi="Arial" w:eastAsia="Arial" w:cs="Arial"/>
          <w:i w:val="0"/>
          <w:iCs w:val="0"/>
          <w:color w:val="auto"/>
          <w:sz w:val="22"/>
          <w:szCs w:val="22"/>
          <w:lang w:val="tr-TR"/>
        </w:rPr>
        <w:t>EKİM 2025</w:t>
      </w:r>
    </w:p>
    <w:p w:rsidR="0FB061E4" w:rsidP="1F3CDA55" w:rsidRDefault="0FB061E4" w14:paraId="1FE13FEE" w14:textId="06531D62">
      <w:pPr>
        <w:spacing w:before="240" w:beforeAutospacing="off" w:after="240" w:afterAutospacing="off"/>
        <w:jc w:val="both"/>
        <w:rPr>
          <w:rFonts w:ascii="Arial" w:hAnsi="Arial" w:eastAsia="Arial" w:cs="Arial"/>
          <w:b w:val="1"/>
          <w:bCs w:val="1"/>
          <w:i w:val="0"/>
          <w:iCs w:val="0"/>
          <w:noProof w:val="0"/>
          <w:color w:val="auto"/>
          <w:sz w:val="22"/>
          <w:szCs w:val="22"/>
          <w:lang w:val="tr-TR"/>
        </w:rPr>
      </w:pPr>
      <w:r w:rsidRPr="1F3CDA55" w:rsidR="6F0B3EA1">
        <w:rPr>
          <w:rFonts w:ascii="Arial" w:hAnsi="Arial" w:eastAsia="Arial" w:cs="Arial"/>
          <w:b w:val="1"/>
          <w:bCs w:val="1"/>
          <w:i w:val="0"/>
          <w:iCs w:val="0"/>
          <w:noProof w:val="0"/>
          <w:color w:val="auto"/>
          <w:sz w:val="22"/>
          <w:szCs w:val="22"/>
          <w:lang w:val="tr-TR"/>
        </w:rPr>
        <w:t>DANIŞTAY: EPİAŞ’IN KAMU GÜCÜ KULLANARAK TESİS ETTİĞİ İŞLEMLER İDARİ YARGININ DENETİMİNE TABİ</w:t>
      </w:r>
    </w:p>
    <w:p w:rsidR="0FB061E4" w:rsidP="1F3CDA55" w:rsidRDefault="0FB061E4" w14:paraId="63310E76" w14:textId="0F44B5DE">
      <w:pPr>
        <w:spacing w:before="240" w:beforeAutospacing="off" w:after="240" w:afterAutospacing="off"/>
        <w:jc w:val="both"/>
        <w:rPr>
          <w:rFonts w:ascii="Arial" w:hAnsi="Arial" w:eastAsia="Arial" w:cs="Arial"/>
          <w:i w:val="0"/>
          <w:iCs w:val="0"/>
          <w:noProof w:val="0"/>
          <w:color w:val="auto"/>
          <w:sz w:val="22"/>
          <w:szCs w:val="22"/>
          <w:lang w:val="tr-TR"/>
        </w:rPr>
      </w:pPr>
      <w:r w:rsidRPr="1F3CDA55" w:rsidR="6F0B3EA1">
        <w:rPr>
          <w:rFonts w:ascii="Arial" w:hAnsi="Arial" w:eastAsia="Arial" w:cs="Arial"/>
          <w:i w:val="0"/>
          <w:iCs w:val="0"/>
          <w:noProof w:val="0"/>
          <w:color w:val="auto"/>
          <w:sz w:val="22"/>
          <w:szCs w:val="22"/>
          <w:lang w:val="tr-TR"/>
        </w:rPr>
        <w:t>Danıştay: EPİAŞ’ın kamu gücü kullanmak suretiyle tesis ettiği işlemler idari yargının denetimine tabidir.</w:t>
      </w:r>
    </w:p>
    <w:p w:rsidR="0FB061E4" w:rsidP="1F3CDA55" w:rsidRDefault="0FB061E4" w14:paraId="2C714574" w14:textId="11EC6F7E">
      <w:pPr>
        <w:spacing w:before="240" w:beforeAutospacing="off" w:after="240" w:afterAutospacing="off"/>
        <w:jc w:val="both"/>
        <w:rPr>
          <w:rFonts w:ascii="Arial" w:hAnsi="Arial" w:eastAsia="Arial" w:cs="Arial"/>
          <w:i w:val="0"/>
          <w:iCs w:val="0"/>
          <w:noProof w:val="0"/>
          <w:color w:val="auto"/>
          <w:sz w:val="22"/>
          <w:szCs w:val="22"/>
          <w:lang w:val="tr-TR"/>
        </w:rPr>
      </w:pPr>
      <w:r w:rsidRPr="1F3CDA55" w:rsidR="6F0B3EA1">
        <w:rPr>
          <w:rFonts w:ascii="Arial" w:hAnsi="Arial" w:eastAsia="Arial" w:cs="Arial"/>
          <w:i w:val="0"/>
          <w:iCs w:val="0"/>
          <w:noProof w:val="0"/>
          <w:color w:val="auto"/>
          <w:sz w:val="22"/>
          <w:szCs w:val="22"/>
          <w:lang w:val="tr-TR"/>
        </w:rPr>
        <w:t>Ekibimizce takip edilen uyuşmazlığa ilişkin olarak, Danıştay 13. Dairesinin 2025/1757 Esas ve 2025/2631 Karar sayılı ilamı, 16 Ekim 2025 tarihli ve 33049 sayılı Resmî Gazete’de yayımlanmıştır. Söz konusu karar ile özel hukuk tüzel kişisi niteliğini haiz olan Enerji Piyasaları İşletme Anonim Şirketi’nin (“EPİAŞ”) hukuki statüsü ve tesis ettiği işlemler bakımından tabi olduğu yargısal denetim mekanizması açıklığa kavuşturulmuştur.</w:t>
      </w:r>
    </w:p>
    <w:p w:rsidR="0FB061E4" w:rsidP="1F3CDA55" w:rsidRDefault="0FB061E4" w14:paraId="13748914" w14:textId="43E117C1">
      <w:pPr>
        <w:spacing w:before="240" w:beforeAutospacing="off" w:after="240" w:afterAutospacing="off"/>
        <w:jc w:val="both"/>
        <w:rPr>
          <w:rFonts w:ascii="Arial" w:hAnsi="Arial" w:eastAsia="Arial" w:cs="Arial"/>
          <w:i w:val="0"/>
          <w:iCs w:val="0"/>
          <w:noProof w:val="0"/>
          <w:color w:val="auto"/>
          <w:sz w:val="22"/>
          <w:szCs w:val="22"/>
          <w:lang w:val="tr-TR"/>
        </w:rPr>
      </w:pPr>
      <w:r w:rsidRPr="1F3CDA55" w:rsidR="6F0B3EA1">
        <w:rPr>
          <w:rFonts w:ascii="Arial" w:hAnsi="Arial" w:eastAsia="Arial" w:cs="Arial"/>
          <w:i w:val="0"/>
          <w:iCs w:val="0"/>
          <w:noProof w:val="0"/>
          <w:color w:val="auto"/>
          <w:sz w:val="22"/>
          <w:szCs w:val="22"/>
          <w:lang w:val="tr-TR"/>
        </w:rPr>
        <w:t>Dava konusu uyuşmazlıkta; Enerji Piyasası Düzenleme Kurumu’nun (“EPDK”) kararıyla kabul edilerek 18/03/2022 tarih ve 31782 sayılı Resmî Gazete’de yayımlanan ve 01/04/2022 tarihinde yürürlüğe giren Kaynak Bazında Destekleme Bedelinin Belirlenmesine ve Uygulanmasına İlişkin Usul ve Esaslar (“Usul ve Esaslar”) uyarınca, davacı hakkında EPİAŞ tarafından düzenlenen faturanın kaynak bazında destekleme bedeline ilişkin kısmının iptali ile söz konusu fatura kapsamında ödenen toplam tutarın, ödeme tarihinden iade tarihine kadar işleyecek yasal faiziyle birlikte iadesine karar verilmesi talep edilmiştir.</w:t>
      </w:r>
    </w:p>
    <w:p w:rsidR="0FB061E4" w:rsidP="1F3CDA55" w:rsidRDefault="0FB061E4" w14:paraId="4E24706C" w14:textId="0968B571">
      <w:pPr>
        <w:spacing w:before="240" w:beforeAutospacing="off" w:after="240" w:afterAutospacing="off"/>
        <w:jc w:val="both"/>
        <w:rPr>
          <w:rFonts w:ascii="Arial" w:hAnsi="Arial" w:eastAsia="Arial" w:cs="Arial"/>
          <w:i w:val="0"/>
          <w:iCs w:val="0"/>
          <w:noProof w:val="0"/>
          <w:color w:val="auto"/>
          <w:sz w:val="22"/>
          <w:szCs w:val="22"/>
          <w:lang w:val="tr-TR"/>
        </w:rPr>
      </w:pPr>
      <w:r w:rsidRPr="1F3CDA55" w:rsidR="6F0B3EA1">
        <w:rPr>
          <w:rFonts w:ascii="Arial" w:hAnsi="Arial" w:eastAsia="Arial" w:cs="Arial"/>
          <w:i w:val="0"/>
          <w:iCs w:val="0"/>
          <w:noProof w:val="0"/>
          <w:color w:val="auto"/>
          <w:sz w:val="22"/>
          <w:szCs w:val="22"/>
          <w:lang w:val="tr-TR"/>
        </w:rPr>
        <w:t>İlk derece mahkemesi, EPİAŞ’ın Enerji Piyasası Düzenleme Kurumu’ndan aldığı lisans kapsamında aracı konumda faaliyet gösteren bir özel hukuk tüzel kişisi olduğu ve bu nedenle EPİAŞ’a karşı açılacak davalarda yargısal denetimin idari yargı yerine adli yargı mercilerinde yapılması gerektiği gerekçesiyle görevsizlik kararı vermiştir. Bölge idare mahkemesi de istinaf başvurularını aynı gerekçeyle kesin olarak reddetmiştir. Bunun üzerine Danıştay Başsavcılığı tarafından söz konusu kararlar aleyhine kanun yararına temyiz yoluna başvurulmuştur.</w:t>
      </w:r>
    </w:p>
    <w:p w:rsidR="0FB061E4" w:rsidP="1F3CDA55" w:rsidRDefault="0FB061E4" w14:paraId="54294BA1" w14:textId="590969D2">
      <w:pPr>
        <w:spacing w:before="240" w:beforeAutospacing="off" w:after="240" w:afterAutospacing="off"/>
        <w:jc w:val="both"/>
        <w:rPr>
          <w:rFonts w:ascii="Arial" w:hAnsi="Arial" w:eastAsia="Arial" w:cs="Arial"/>
          <w:i w:val="0"/>
          <w:iCs w:val="0"/>
          <w:noProof w:val="0"/>
          <w:color w:val="auto"/>
          <w:sz w:val="22"/>
          <w:szCs w:val="22"/>
          <w:lang w:val="tr-TR"/>
        </w:rPr>
      </w:pPr>
      <w:r w:rsidRPr="1F3CDA55" w:rsidR="6F0B3EA1">
        <w:rPr>
          <w:rFonts w:ascii="Arial" w:hAnsi="Arial" w:eastAsia="Arial" w:cs="Arial"/>
          <w:i w:val="0"/>
          <w:iCs w:val="0"/>
          <w:noProof w:val="0"/>
          <w:color w:val="auto"/>
          <w:sz w:val="22"/>
          <w:szCs w:val="22"/>
          <w:lang w:val="tr-TR"/>
        </w:rPr>
        <w:t>Uyuşmazlığın temelini, özel hukuk tüzel kişisi olan EPİAŞ tarafından tesis edilen bir işleme ilişkin denetimin idari yargının görev alanına girip girmediği hususu oluşturmaktadır.</w:t>
      </w:r>
    </w:p>
    <w:p w:rsidR="0FB061E4" w:rsidP="1F3CDA55" w:rsidRDefault="0FB061E4" w14:paraId="4BC79AA4" w14:textId="2CFC3E27">
      <w:pPr>
        <w:spacing w:before="240" w:beforeAutospacing="off" w:after="240" w:afterAutospacing="off"/>
        <w:jc w:val="both"/>
        <w:rPr>
          <w:rFonts w:ascii="Arial" w:hAnsi="Arial" w:eastAsia="Arial" w:cs="Arial"/>
          <w:i w:val="0"/>
          <w:iCs w:val="0"/>
          <w:noProof w:val="0"/>
          <w:color w:val="auto"/>
          <w:sz w:val="22"/>
          <w:szCs w:val="22"/>
          <w:lang w:val="tr-TR"/>
        </w:rPr>
      </w:pPr>
      <w:r w:rsidRPr="1F3CDA55" w:rsidR="6F0B3EA1">
        <w:rPr>
          <w:rFonts w:ascii="Arial" w:hAnsi="Arial" w:eastAsia="Arial" w:cs="Arial"/>
          <w:i w:val="0"/>
          <w:iCs w:val="0"/>
          <w:noProof w:val="0"/>
          <w:color w:val="auto"/>
          <w:sz w:val="22"/>
          <w:szCs w:val="22"/>
          <w:lang w:val="tr-TR"/>
        </w:rPr>
        <w:t>Temyiz başvurusunu inceleyen Danıştay 13. Dairesi, EPİAŞ tarafından tesis edilen işlemin, ilgili mevzuat çerçevesinde ve Enerji ve Tabii Kaynaklar Bakanlığı’nın uygun görüşü alınmak suretiyle EPDK kararı ile ihdas edildiğini; bu yönüyle işlemin kamu gücü kullanılarak ve tek taraflı irade beyanı ile tesis edilen bir idari işlem niteliği taşıdığını değerlendirmiştir.</w:t>
      </w:r>
    </w:p>
    <w:p w:rsidR="0FB061E4" w:rsidP="1F3CDA55" w:rsidRDefault="0FB061E4" w14:paraId="0E8E3C72" w14:textId="4201C0D1">
      <w:pPr>
        <w:spacing w:before="240" w:beforeAutospacing="off" w:after="240" w:afterAutospacing="off"/>
        <w:jc w:val="both"/>
        <w:rPr>
          <w:rFonts w:ascii="Arial" w:hAnsi="Arial" w:eastAsia="Arial" w:cs="Arial"/>
          <w:i w:val="0"/>
          <w:iCs w:val="0"/>
          <w:noProof w:val="0"/>
          <w:color w:val="auto"/>
          <w:sz w:val="22"/>
          <w:szCs w:val="22"/>
          <w:lang w:val="tr-TR"/>
        </w:rPr>
      </w:pPr>
      <w:r w:rsidRPr="1F3CDA55" w:rsidR="6F0B3EA1">
        <w:rPr>
          <w:rFonts w:ascii="Arial" w:hAnsi="Arial" w:eastAsia="Arial" w:cs="Arial"/>
          <w:i w:val="0"/>
          <w:iCs w:val="0"/>
          <w:noProof w:val="0"/>
          <w:color w:val="auto"/>
          <w:sz w:val="22"/>
          <w:szCs w:val="22"/>
          <w:lang w:val="tr-TR"/>
        </w:rPr>
        <w:t>Bu itibarla, söz konusu uyuşmazlığın çözümünde idari yargı yerlerinin görevli olduğu sonucuna ulaşılmış ve kararın kanun yararına bozulmasına hükmedilmiştir.</w:t>
      </w:r>
    </w:p>
    <w:p w:rsidR="0FB061E4" w:rsidP="1F3CDA55" w:rsidRDefault="0FB061E4" w14:paraId="1B6DBB20" w14:textId="6661C077">
      <w:pPr>
        <w:spacing w:before="240" w:beforeAutospacing="off" w:after="240" w:afterAutospacing="off"/>
        <w:jc w:val="both"/>
        <w:rPr>
          <w:rFonts w:ascii="Arial" w:hAnsi="Arial" w:eastAsia="Arial" w:cs="Arial"/>
          <w:i w:val="0"/>
          <w:iCs w:val="0"/>
          <w:noProof w:val="0"/>
          <w:color w:val="auto"/>
          <w:sz w:val="22"/>
          <w:szCs w:val="22"/>
          <w:lang w:val="tr-TR"/>
        </w:rPr>
      </w:pPr>
      <w:r w:rsidRPr="1F3CDA55" w:rsidR="6F0B3EA1">
        <w:rPr>
          <w:rFonts w:ascii="Arial" w:hAnsi="Arial" w:eastAsia="Arial" w:cs="Arial"/>
          <w:i w:val="0"/>
          <w:iCs w:val="0"/>
          <w:noProof w:val="0"/>
          <w:color w:val="auto"/>
          <w:sz w:val="22"/>
          <w:szCs w:val="22"/>
          <w:lang w:val="tr-TR"/>
        </w:rPr>
        <w:t>Kanaatimizce bu karar, idare hukuku uygulamaları bakımından önemli bir içtihat teşkil etmekte olup benzer nitelikteki uyuşmazlıklar açısından yol gösterici mahiyet taşımaktadır.</w:t>
      </w:r>
    </w:p>
    <w:p w:rsidR="7AE2C74C" w:rsidP="1F3CDA55" w:rsidRDefault="7AE2C74C" w14:paraId="54547976" w14:textId="4D62446A">
      <w:pPr>
        <w:pStyle w:val="paragraph"/>
        <w:spacing w:before="0" w:beforeAutospacing="off" w:after="0" w:afterAutospacing="off"/>
        <w:jc w:val="both"/>
        <w:rPr>
          <w:rStyle w:val="eop"/>
          <w:rFonts w:ascii="Arial" w:hAnsi="Arial" w:eastAsia="Arial" w:cs="Arial"/>
          <w:i w:val="0"/>
          <w:iCs w:val="0"/>
          <w:color w:val="auto" w:themeColor="text1" w:themeTint="FF" w:themeShade="FF"/>
          <w:sz w:val="22"/>
          <w:szCs w:val="22"/>
        </w:rPr>
      </w:pPr>
    </w:p>
    <w:p w:rsidRPr="00D3199E" w:rsidR="00A955FC" w:rsidP="1F3CDA55" w:rsidRDefault="00A955FC" w14:paraId="44D4ED53" w14:textId="77777777">
      <w:pPr>
        <w:jc w:val="both"/>
        <w:rPr>
          <w:rFonts w:ascii="Arial" w:hAnsi="Arial" w:eastAsia="Arial" w:cs="Arial"/>
          <w:i w:val="0"/>
          <w:iCs w:val="0"/>
          <w:color w:val="auto"/>
          <w:sz w:val="22"/>
          <w:szCs w:val="22"/>
          <w:lang w:val="tr-TR"/>
        </w:rPr>
      </w:pPr>
      <w:r w:rsidRPr="1F3CDA55">
        <w:rPr>
          <w:rFonts w:ascii="Arial" w:hAnsi="Arial" w:eastAsia="Arial" w:cs="Arial"/>
          <w:i w:val="0"/>
          <w:iCs w:val="0"/>
          <w:color w:val="auto"/>
          <w:sz w:val="22"/>
          <w:szCs w:val="22"/>
          <w:lang w:val="tr-TR"/>
        </w:rPr>
        <w:br w:type="page"/>
      </w:r>
    </w:p>
    <w:p w:rsidRPr="00D3199E" w:rsidR="00CB58E1" w:rsidP="1F3CDA55" w:rsidRDefault="00CB58E1" w14:paraId="04835B2A" w14:textId="66461661">
      <w:pPr>
        <w:jc w:val="both"/>
        <w:rPr>
          <w:rFonts w:ascii="Arial" w:hAnsi="Arial" w:eastAsia="Arial" w:cs="Arial"/>
          <w:i w:val="0"/>
          <w:iCs w:val="0"/>
          <w:color w:val="auto"/>
          <w:sz w:val="22"/>
          <w:szCs w:val="22"/>
          <w:lang w:val="tr-TR"/>
        </w:rPr>
      </w:pPr>
      <w:r w:rsidRPr="1F3CDA55" w:rsidR="6F87D3AD">
        <w:rPr>
          <w:rFonts w:ascii="Arial" w:hAnsi="Arial" w:eastAsia="Arial" w:cs="Arial"/>
          <w:i w:val="0"/>
          <w:iCs w:val="0"/>
          <w:color w:val="auto"/>
          <w:sz w:val="22"/>
          <w:szCs w:val="22"/>
          <w:lang w:val="tr-TR"/>
        </w:rPr>
        <w:t>KASIM 2025</w:t>
      </w:r>
    </w:p>
    <w:p w:rsidR="2D4E9C6B" w:rsidP="1F3CDA55" w:rsidRDefault="2D4E9C6B" w14:paraId="6F3D3690" w14:textId="5A6C2AE7">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b w:val="1"/>
          <w:bCs w:val="1"/>
          <w:i w:val="0"/>
          <w:iCs w:val="0"/>
          <w:noProof/>
          <w:color w:val="auto"/>
          <w:sz w:val="22"/>
          <w:szCs w:val="22"/>
          <w:lang w:val="en-US"/>
        </w:rPr>
        <w:t>ENERJİ HUKUKU SERİSİ #2 – YENİLENEBİLİR ENERJİ YATIRIMLARINDA LİSANS SÜREÇLERİ</w:t>
      </w:r>
      <w:r w:rsidRPr="1F3CDA55" w:rsidR="1A2F647C">
        <w:rPr>
          <w:rFonts w:ascii="Arial" w:hAnsi="Arial" w:eastAsia="Arial" w:cs="Arial"/>
          <w:i w:val="0"/>
          <w:iCs w:val="0"/>
          <w:noProof/>
          <w:color w:val="auto"/>
          <w:sz w:val="22"/>
          <w:szCs w:val="22"/>
          <w:lang w:val="en-US"/>
        </w:rPr>
        <w:t xml:space="preserve"> </w:t>
      </w:r>
    </w:p>
    <w:p w:rsidR="2D4E9C6B" w:rsidP="1F3CDA55" w:rsidRDefault="2D4E9C6B" w14:paraId="69DD8B5D" w14:textId="5500AABB">
      <w:pPr>
        <w:pStyle w:val="Balk3"/>
        <w:spacing w:before="281" w:beforeAutospacing="off" w:after="281" w:afterAutospacing="off"/>
        <w:jc w:val="both"/>
        <w:rPr>
          <w:rFonts w:ascii="Arial" w:hAnsi="Arial" w:eastAsia="Arial" w:cs="Arial"/>
          <w:b w:val="1"/>
          <w:bCs w:val="1"/>
          <w:i w:val="0"/>
          <w:iCs w:val="0"/>
          <w:noProof/>
          <w:color w:val="auto"/>
          <w:sz w:val="22"/>
          <w:szCs w:val="22"/>
          <w:lang w:val="en-US"/>
        </w:rPr>
      </w:pPr>
      <w:r w:rsidRPr="1F3CDA55" w:rsidR="1A2F647C">
        <w:rPr>
          <w:rFonts w:ascii="Arial" w:hAnsi="Arial" w:eastAsia="Arial" w:cs="Arial"/>
          <w:b w:val="1"/>
          <w:bCs w:val="1"/>
          <w:i w:val="0"/>
          <w:iCs w:val="0"/>
          <w:noProof/>
          <w:color w:val="auto"/>
          <w:sz w:val="22"/>
          <w:szCs w:val="22"/>
          <w:lang w:val="en-US"/>
        </w:rPr>
        <w:t>1. Lisans Alma Zorunluluğu ve Lisans Türleri</w:t>
      </w:r>
    </w:p>
    <w:p w:rsidR="2D4E9C6B" w:rsidP="1F3CDA55" w:rsidRDefault="2D4E9C6B" w14:paraId="2CFCF387" w14:textId="54B3A5FB">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6446 sayılı Elektrik Piyasası Kanunu (“Kanun”) uyarınca, elektrik enerjisi piyasasında üretim, iletim, dağıtım, toplayıcılık, toptan veya perakende satış ile piyasa işletim faaliyetlerinde bulunmak isteyen tüzel kişilerin Enerji Piyasası Düzenleme Kurumu’ndan (“EPDK”) lisans almaları zorunludur. Kanun’da sınırlı olarak düzenlenen ve öz tüketim amacına yönelik bazı üretim faaliyetleri ise lisans alma yükümlülüğünden muaf tutulmuştur.</w:t>
      </w:r>
    </w:p>
    <w:p w:rsidR="2D4E9C6B" w:rsidP="1F3CDA55" w:rsidRDefault="2D4E9C6B" w14:paraId="7FBDCA41" w14:textId="620EF36B">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Faaliyet konularına göre EPDK’dan alınabilecek lisans türleri aşağıdaki gibidir:</w:t>
      </w:r>
    </w:p>
    <w:p w:rsidR="2D4E9C6B" w:rsidP="1F3CDA55" w:rsidRDefault="2D4E9C6B" w14:paraId="18D577A7" w14:textId="29312550">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Üretim lisansı, </w:t>
      </w:r>
    </w:p>
    <w:p w:rsidR="2D4E9C6B" w:rsidP="1F3CDA55" w:rsidRDefault="2D4E9C6B" w14:paraId="6B56E05B" w14:textId="34C892B8">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Organize Sanayi Bölgesi (OSB) üretim lisansı, </w:t>
      </w:r>
    </w:p>
    <w:p w:rsidR="2D4E9C6B" w:rsidP="1F3CDA55" w:rsidRDefault="2D4E9C6B" w14:paraId="4D5E28DD" w14:textId="701C2E4B">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İletim lisansı, </w:t>
      </w:r>
    </w:p>
    <w:p w:rsidR="2D4E9C6B" w:rsidP="1F3CDA55" w:rsidRDefault="2D4E9C6B" w14:paraId="59C30CC7" w14:textId="074009B4">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Piyasa işletim lisansı, </w:t>
      </w:r>
    </w:p>
    <w:p w:rsidR="2D4E9C6B" w:rsidP="1F3CDA55" w:rsidRDefault="2D4E9C6B" w14:paraId="0350CD52" w14:textId="58604D87">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Dağıtım lisansı, </w:t>
      </w:r>
    </w:p>
    <w:p w:rsidR="2D4E9C6B" w:rsidP="1F3CDA55" w:rsidRDefault="2D4E9C6B" w14:paraId="3ED5D72D" w14:textId="7A464662">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OSB dağıtım lisansı, </w:t>
      </w:r>
    </w:p>
    <w:p w:rsidR="2D4E9C6B" w:rsidP="1F3CDA55" w:rsidRDefault="2D4E9C6B" w14:paraId="2483198F" w14:textId="4C541865">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Toptan satış ve perakende satış lisansı, </w:t>
      </w:r>
    </w:p>
    <w:p w:rsidR="2D4E9C6B" w:rsidP="1F3CDA55" w:rsidRDefault="2D4E9C6B" w14:paraId="169FE387" w14:textId="256994FC">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İthalat ve ihracat lisansı, </w:t>
      </w:r>
    </w:p>
    <w:p w:rsidR="2D4E9C6B" w:rsidP="1F3CDA55" w:rsidRDefault="2D4E9C6B" w14:paraId="0D67FEC2" w14:textId="45BEAC50">
      <w:pPr>
        <w:pStyle w:val="ListeParagraf"/>
        <w:numPr>
          <w:ilvl w:val="0"/>
          <w:numId w:val="64"/>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Toplayıcı lisansı. </w:t>
      </w:r>
    </w:p>
    <w:p w:rsidR="7AE2C74C" w:rsidP="1F3CDA55" w:rsidRDefault="7AE2C74C" w14:paraId="0FCD1874" w14:textId="11CABB71">
      <w:pPr>
        <w:jc w:val="both"/>
        <w:rPr>
          <w:rFonts w:ascii="Arial" w:hAnsi="Arial" w:eastAsia="Arial" w:cs="Arial"/>
          <w:i w:val="0"/>
          <w:iCs w:val="0"/>
          <w:color w:val="auto"/>
          <w:sz w:val="22"/>
          <w:szCs w:val="22"/>
        </w:rPr>
      </w:pPr>
    </w:p>
    <w:p w:rsidR="2D4E9C6B" w:rsidP="1F3CDA55" w:rsidRDefault="2D4E9C6B" w14:paraId="63DB52BB" w14:textId="105A3475">
      <w:pPr>
        <w:pStyle w:val="Balk3"/>
        <w:spacing w:before="281" w:beforeAutospacing="off" w:after="281" w:afterAutospacing="off"/>
        <w:jc w:val="both"/>
        <w:rPr>
          <w:rFonts w:ascii="Arial" w:hAnsi="Arial" w:eastAsia="Arial" w:cs="Arial"/>
          <w:b w:val="1"/>
          <w:bCs w:val="1"/>
          <w:i w:val="0"/>
          <w:iCs w:val="0"/>
          <w:noProof/>
          <w:color w:val="auto"/>
          <w:sz w:val="22"/>
          <w:szCs w:val="22"/>
          <w:lang w:val="en-US"/>
        </w:rPr>
      </w:pPr>
      <w:r w:rsidRPr="1F3CDA55" w:rsidR="1A2F647C">
        <w:rPr>
          <w:rFonts w:ascii="Arial" w:hAnsi="Arial" w:eastAsia="Arial" w:cs="Arial"/>
          <w:b w:val="1"/>
          <w:bCs w:val="1"/>
          <w:i w:val="0"/>
          <w:iCs w:val="0"/>
          <w:noProof/>
          <w:color w:val="auto"/>
          <w:sz w:val="22"/>
          <w:szCs w:val="22"/>
          <w:lang w:val="en-US"/>
        </w:rPr>
        <w:t>2. Yenilenebilir Enerji Yatırımları Çerçevesinde Üretim Lisansı</w:t>
      </w:r>
    </w:p>
    <w:p w:rsidR="2D4E9C6B" w:rsidP="1F3CDA55" w:rsidRDefault="2D4E9C6B" w14:paraId="53AEF9BC" w14:textId="319E0E00">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Yenilenebilir enerji yatırımları bakımından en önemli lisans türü üretim lisansıdır. Devlet, bu alandaki yatırımları teşvik etmek amacıyla çeşitli destek mekanizmaları ihdas etmiştir. Bu kapsamda Yenilenebilir Enerji Kaynakları Destekleme Mekanizması (“YEKDEM”) oluşturulmuş olup, yerli aksam desteği ile yerli üretim ekipmanlarının kullanımının teşvik edilmesi amaçlanmaktadır.</w:t>
      </w:r>
    </w:p>
    <w:p w:rsidR="2D4E9C6B" w:rsidP="1F3CDA55" w:rsidRDefault="2D4E9C6B" w14:paraId="09695107" w14:textId="0B56B73C">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Üretim lisansı süreci genel olarak; önlisans alınması, bu süreçte gerekli izin, onay ve ruhsatların temin edilmesi ile diğer yükümlülüklerin yerine getirilmesi ve akabinde lisans başvurusunun yapılarak EPDK tarafından değerlendirilmesi aşamalarından oluşmaktadır.</w:t>
      </w:r>
    </w:p>
    <w:p w:rsidR="2D4E9C6B" w:rsidP="1F3CDA55" w:rsidRDefault="2D4E9C6B" w14:paraId="67BFA4E2" w14:textId="03AED0D5">
      <w:pPr>
        <w:pStyle w:val="Balk3"/>
        <w:spacing w:before="281" w:beforeAutospacing="off" w:after="281" w:afterAutospacing="off"/>
        <w:jc w:val="both"/>
        <w:rPr>
          <w:rFonts w:ascii="Arial" w:hAnsi="Arial" w:eastAsia="Arial" w:cs="Arial"/>
          <w:b w:val="1"/>
          <w:bCs w:val="1"/>
          <w:i w:val="0"/>
          <w:iCs w:val="0"/>
          <w:noProof/>
          <w:color w:val="auto"/>
          <w:sz w:val="22"/>
          <w:szCs w:val="22"/>
          <w:lang w:val="en-US"/>
        </w:rPr>
      </w:pPr>
      <w:r w:rsidRPr="1F3CDA55" w:rsidR="1A2F647C">
        <w:rPr>
          <w:rFonts w:ascii="Arial" w:hAnsi="Arial" w:eastAsia="Arial" w:cs="Arial"/>
          <w:b w:val="1"/>
          <w:bCs w:val="1"/>
          <w:i w:val="0"/>
          <w:iCs w:val="0"/>
          <w:noProof/>
          <w:color w:val="auto"/>
          <w:sz w:val="22"/>
          <w:szCs w:val="22"/>
          <w:lang w:val="en-US"/>
        </w:rPr>
        <w:t>3. Üretim Lisansı Süreci</w:t>
      </w:r>
    </w:p>
    <w:p w:rsidR="2D4E9C6B" w:rsidP="1F3CDA55" w:rsidRDefault="2D4E9C6B" w14:paraId="51B32003" w14:textId="31E7E2FA">
      <w:pPr>
        <w:pStyle w:val="Balk4"/>
        <w:spacing w:before="319" w:beforeAutospacing="off" w:after="319" w:afterAutospacing="off"/>
        <w:jc w:val="both"/>
        <w:rPr>
          <w:rFonts w:ascii="Arial" w:hAnsi="Arial" w:eastAsia="Arial" w:cs="Arial"/>
          <w:b w:val="1"/>
          <w:bCs w:val="1"/>
          <w:i w:val="0"/>
          <w:iCs w:val="0"/>
          <w:noProof/>
          <w:color w:val="auto"/>
          <w:sz w:val="22"/>
          <w:szCs w:val="22"/>
          <w:lang w:val="en-US"/>
        </w:rPr>
      </w:pPr>
      <w:r w:rsidRPr="1F3CDA55" w:rsidR="1A2F647C">
        <w:rPr>
          <w:rFonts w:ascii="Arial" w:hAnsi="Arial" w:eastAsia="Arial" w:cs="Arial"/>
          <w:b w:val="1"/>
          <w:bCs w:val="1"/>
          <w:i w:val="0"/>
          <w:iCs w:val="0"/>
          <w:noProof/>
          <w:color w:val="auto"/>
          <w:sz w:val="22"/>
          <w:szCs w:val="22"/>
          <w:lang w:val="en-US"/>
        </w:rPr>
        <w:t>3.1. Önlisans Süreci</w:t>
      </w:r>
    </w:p>
    <w:p w:rsidR="2D4E9C6B" w:rsidP="1F3CDA55" w:rsidRDefault="2D4E9C6B" w14:paraId="327DBFE7" w14:textId="3EAED9AF">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Önlisans süreci, projenin EPDK tarafından uygun bulunmasını müteakip gerekli kurum ve kuruluşlardan alınması gereken izin, onay ve ruhsatların temini amacıyla öngörülen hazırlık dönemidir. Önlisans süresi, üretim tesisinin enerji kaynağı türüne ve kurulu gücüne bağlı olarak, mücbir sebepler hariç olmak üzere otuz altı ayı geçmemek üzere Kurul kararı ile belirlenmektedir.</w:t>
      </w:r>
    </w:p>
    <w:p w:rsidR="2D4E9C6B" w:rsidP="1F3CDA55" w:rsidRDefault="2D4E9C6B" w14:paraId="0DE9303F" w14:textId="4FEC1AF9">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Önlisans sahibi tüzel kişi, EPDK kararında belirtilen süre içerisinde mevzuattan kaynaklanan tüm izin, onay, ruhsat ve benzeri belgeleri temin etmekle yükümlüdür. Bu yükümlülüklerin eksiksiz olarak yerine getirilmesi, lisans başvurusunun yapılabilmesi için zorunludur.</w:t>
      </w:r>
    </w:p>
    <w:p w:rsidR="2D4E9C6B" w:rsidP="1F3CDA55" w:rsidRDefault="2D4E9C6B" w14:paraId="0AD63184" w14:textId="05C18A11">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Bu kapsamda önlisans sürecinde yerine getirilmesi gereken başlıca iş ve işlemler şunlardır:</w:t>
      </w:r>
    </w:p>
    <w:p w:rsidR="2D4E9C6B" w:rsidP="1F3CDA55" w:rsidRDefault="2D4E9C6B" w14:paraId="5ACEB107" w14:textId="669A0183">
      <w:pPr>
        <w:pStyle w:val="ListeParagraf"/>
        <w:numPr>
          <w:ilvl w:val="0"/>
          <w:numId w:val="65"/>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Üretim tesisinin kurulacağı sahanın önlisans sahibi tüzel kişinin mülkiyetinde bulunmaması halinde, söz konusu sahanın mülkiyet veya kullanım hakkının elde edilmesi, </w:t>
      </w:r>
    </w:p>
    <w:p w:rsidR="2D4E9C6B" w:rsidP="1F3CDA55" w:rsidRDefault="2D4E9C6B" w14:paraId="62967296" w14:textId="78A890E5">
      <w:pPr>
        <w:pStyle w:val="ListeParagraf"/>
        <w:numPr>
          <w:ilvl w:val="0"/>
          <w:numId w:val="65"/>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Kurulması planlanan üretim tesisine ilişkin nazım ve uygulama imar planlarının onaylanarak kesinleşmesi, </w:t>
      </w:r>
    </w:p>
    <w:p w:rsidR="2D4E9C6B" w:rsidP="1F3CDA55" w:rsidRDefault="2D4E9C6B" w14:paraId="31843822" w14:textId="79373C60">
      <w:pPr>
        <w:pStyle w:val="ListeParagraf"/>
        <w:numPr>
          <w:ilvl w:val="0"/>
          <w:numId w:val="65"/>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Üretim tesisine ilişkin ön proje veya kat’i proje onayının alınması, </w:t>
      </w:r>
    </w:p>
    <w:p w:rsidR="2D4E9C6B" w:rsidP="1F3CDA55" w:rsidRDefault="2D4E9C6B" w14:paraId="52018E45" w14:textId="6F4AC80E">
      <w:pPr>
        <w:pStyle w:val="ListeParagraf"/>
        <w:numPr>
          <w:ilvl w:val="0"/>
          <w:numId w:val="65"/>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Rüzgâr, güneş, hidrolik, jeotermal, biyokütle veya yerli madenlere dayalı başvurular bakımından Çevresel Etki Değerlendirmesi Yönetmeliği kapsamında gerekli kararın alınması, </w:t>
      </w:r>
    </w:p>
    <w:p w:rsidR="2D4E9C6B" w:rsidP="1F3CDA55" w:rsidRDefault="2D4E9C6B" w14:paraId="44561A55" w14:textId="2D032E77">
      <w:pPr>
        <w:pStyle w:val="ListeParagraf"/>
        <w:numPr>
          <w:ilvl w:val="0"/>
          <w:numId w:val="65"/>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Üretim tesisine ilişkin yapı ruhsatının veya bu ruhsat yerine geçecek belgenin temin edilmesi. </w:t>
      </w:r>
    </w:p>
    <w:p w:rsidR="7AE2C74C" w:rsidP="1F3CDA55" w:rsidRDefault="7AE2C74C" w14:paraId="3DC45561" w14:textId="59615D8F">
      <w:pPr>
        <w:jc w:val="both"/>
        <w:rPr>
          <w:rFonts w:ascii="Arial" w:hAnsi="Arial" w:eastAsia="Arial" w:cs="Arial"/>
          <w:i w:val="0"/>
          <w:iCs w:val="0"/>
          <w:color w:val="auto"/>
          <w:sz w:val="22"/>
          <w:szCs w:val="22"/>
        </w:rPr>
      </w:pPr>
    </w:p>
    <w:p w:rsidR="2D4E9C6B" w:rsidP="1F3CDA55" w:rsidRDefault="2D4E9C6B" w14:paraId="35D277AD" w14:textId="196CE602">
      <w:pPr>
        <w:pStyle w:val="Balk4"/>
        <w:spacing w:before="319" w:beforeAutospacing="off" w:after="319" w:afterAutospacing="off"/>
        <w:jc w:val="both"/>
        <w:rPr>
          <w:rFonts w:ascii="Arial" w:hAnsi="Arial" w:eastAsia="Arial" w:cs="Arial"/>
          <w:b w:val="1"/>
          <w:bCs w:val="1"/>
          <w:i w:val="0"/>
          <w:iCs w:val="0"/>
          <w:noProof/>
          <w:color w:val="auto"/>
          <w:sz w:val="22"/>
          <w:szCs w:val="22"/>
          <w:lang w:val="en-US"/>
        </w:rPr>
      </w:pPr>
      <w:r w:rsidRPr="1F3CDA55" w:rsidR="1A2F647C">
        <w:rPr>
          <w:rFonts w:ascii="Arial" w:hAnsi="Arial" w:eastAsia="Arial" w:cs="Arial"/>
          <w:b w:val="1"/>
          <w:bCs w:val="1"/>
          <w:i w:val="0"/>
          <w:iCs w:val="0"/>
          <w:noProof/>
          <w:color w:val="auto"/>
          <w:sz w:val="22"/>
          <w:szCs w:val="22"/>
          <w:lang w:val="en-US"/>
        </w:rPr>
        <w:t>3.2. Lisans Süreci</w:t>
      </w:r>
    </w:p>
    <w:p w:rsidR="2D4E9C6B" w:rsidP="1F3CDA55" w:rsidRDefault="2D4E9C6B" w14:paraId="71D3893E" w14:textId="648FAD64">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Lisans başvurularının yapılmasını müteakip başvurular Kurum tarafından değerlendirmeye alınmakta ve bu süreçte önlisans döneminde yerine getirilmesi gereken yükümlülüklerin tamamlanıp tamamlanmadığı incelenmektedir.</w:t>
      </w:r>
    </w:p>
    <w:p w:rsidR="2D4E9C6B" w:rsidP="1F3CDA55" w:rsidRDefault="2D4E9C6B" w14:paraId="7810FEAE" w14:textId="13F8B124">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Önlisans kapsamında öngörülen yükümlülüklerin süresi içerisinde eksiksiz olarak yerine getirildiğinin tespit edilmesi halinde, ilgili tüzel kişiye EPDK kararı ile üretim lisansı verilmektedir.</w:t>
      </w:r>
    </w:p>
    <w:p w:rsidR="2D4E9C6B" w:rsidP="1F3CDA55" w:rsidRDefault="2D4E9C6B" w14:paraId="3ECE2708" w14:textId="14912084">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Üretim lisansında; inşaat süresi, tesisin tamamlanma tarihi ve yenilenebilir enerji kaynaklarına dayalı üretim lisansları bakımından lisansa konu tesisin kaynağına göre mevcut kurulu gücü ile üretebileceği öngörülen yıllık azami üretim miktarı, yıllık elektrik enerjisi üretim miktarı olarak lisansa derç edilmektedir.</w:t>
      </w:r>
    </w:p>
    <w:p w:rsidR="2D4E9C6B" w:rsidP="1F3CDA55" w:rsidRDefault="2D4E9C6B" w14:paraId="7959E01A" w14:textId="09928AEA">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Lisans verilmesini takiben tüzel kişi, üretim tesisinin inşasına başlamak ve lisans süresi içerisinde belirlenen tarihler doğrultusunda inşaatı tamamlamakla yükümlüdür.</w:t>
      </w:r>
    </w:p>
    <w:p w:rsidR="2D4E9C6B" w:rsidP="1F3CDA55" w:rsidRDefault="2D4E9C6B" w14:paraId="400B39F1" w14:textId="50F7210B">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Üretim lisansı, faaliyetin niteliği dikkate alınarak en az on yıl, en fazla kırk dokuz yıl süre ile verilmektedir. Yenilenebilir Enerji Kaynak Alanı (“YEKA”) projeleri kapsamında verilecek üretim lisanslarının süresi ise YEKA Yönetmeliği hükümleri çerçevesinde belirlenmektedir.</w:t>
      </w:r>
    </w:p>
    <w:p w:rsidR="2D4E9C6B" w:rsidP="1F3CDA55" w:rsidRDefault="2D4E9C6B" w14:paraId="77B04624" w14:textId="38FFAC25">
      <w:pPr>
        <w:pStyle w:val="Balk3"/>
        <w:spacing w:before="281" w:beforeAutospacing="off" w:after="281" w:afterAutospacing="off"/>
        <w:jc w:val="both"/>
        <w:rPr>
          <w:rFonts w:ascii="Arial" w:hAnsi="Arial" w:eastAsia="Arial" w:cs="Arial"/>
          <w:b w:val="1"/>
          <w:bCs w:val="1"/>
          <w:i w:val="0"/>
          <w:iCs w:val="0"/>
          <w:noProof/>
          <w:color w:val="auto"/>
          <w:sz w:val="22"/>
          <w:szCs w:val="22"/>
          <w:lang w:val="en-US"/>
        </w:rPr>
      </w:pPr>
      <w:r w:rsidRPr="1F3CDA55" w:rsidR="1A2F647C">
        <w:rPr>
          <w:rFonts w:ascii="Arial" w:hAnsi="Arial" w:eastAsia="Arial" w:cs="Arial"/>
          <w:b w:val="1"/>
          <w:bCs w:val="1"/>
          <w:i w:val="0"/>
          <w:iCs w:val="0"/>
          <w:noProof/>
          <w:color w:val="auto"/>
          <w:sz w:val="22"/>
          <w:szCs w:val="22"/>
          <w:lang w:val="en-US"/>
        </w:rPr>
        <w:t>4. Üretim Faaliyetinin Yürütülmesi</w:t>
      </w:r>
    </w:p>
    <w:p w:rsidR="2D4E9C6B" w:rsidP="1F3CDA55" w:rsidRDefault="2D4E9C6B" w14:paraId="2208C200" w14:textId="073D0B74">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Lisans kapsamında öngörülen süre içerisinde tesis kurulumunun tamamlanmasını müteakip lisans sahibi tüzel kişi üretim faaliyetine başlayabilmektedir.</w:t>
      </w:r>
    </w:p>
    <w:p w:rsidR="2D4E9C6B" w:rsidP="1F3CDA55" w:rsidRDefault="2D4E9C6B" w14:paraId="7CAC769E" w14:textId="67332FD4">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Bu kapsamda üretim lisansı sahibi tüzel kişi:</w:t>
      </w:r>
    </w:p>
    <w:p w:rsidR="2D4E9C6B" w:rsidP="1F3CDA55" w:rsidRDefault="2D4E9C6B" w14:paraId="687C1D14" w14:textId="42B4AFF8">
      <w:pPr>
        <w:pStyle w:val="ListeParagraf"/>
        <w:numPr>
          <w:ilvl w:val="0"/>
          <w:numId w:val="66"/>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Tedarik şirketlerine, serbest tüketicilere ve özel direkt hat tesis ettiği kişilere elektrik enerjisi veya kapasitesi satışı yapabilir, </w:t>
      </w:r>
    </w:p>
    <w:p w:rsidR="2D4E9C6B" w:rsidP="1F3CDA55" w:rsidRDefault="2D4E9C6B" w14:paraId="09D8447C" w14:textId="53B52CE9">
      <w:pPr>
        <w:pStyle w:val="ListeParagraf"/>
        <w:numPr>
          <w:ilvl w:val="0"/>
          <w:numId w:val="66"/>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Elektrik enerjisi veya kapasite ticaretinde bulunabilir, </w:t>
      </w:r>
    </w:p>
    <w:p w:rsidR="2D4E9C6B" w:rsidP="1F3CDA55" w:rsidRDefault="2D4E9C6B" w14:paraId="66A0D3F3" w14:textId="5505B5DF">
      <w:pPr>
        <w:pStyle w:val="ListeParagraf"/>
        <w:numPr>
          <w:ilvl w:val="0"/>
          <w:numId w:val="66"/>
        </w:numPr>
        <w:spacing w:before="0" w:beforeAutospacing="off" w:after="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 xml:space="preserve">Tedarik etmekle yükümlü olduğu elektrik enerjisi veya kapasitesini teminen, bir takvim yılı için lisansına dercedilen yıllık üretim miktarının EPDK tarafından belirlenen oranını aşmamak kaydıyla elektrik enerjisi veya kapasitesi satın alabilir. </w:t>
      </w:r>
    </w:p>
    <w:p w:rsidR="2D4E9C6B" w:rsidP="1F3CDA55" w:rsidRDefault="2D4E9C6B" w14:paraId="0698E121" w14:textId="6BA77EF4">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Bununla birlikte, 31 Aralık 2030 tarihine kadar işletmeye girecek ve Yenilenebilir Enerji Kaynak (YEK) belgesine sahip lisanslı üretim tesislerinde üretilen elektrik enerjisi bakımından 5346 sayılı Kanun kapsamında YEKDEM uygulanmaktadır. Bu kapsamda üretilen elektrik enerjisi için, kaynak bazında belirlenen süre ve fiyatlar üzerinden alım garantisi sağlanmaktadır.</w:t>
      </w:r>
    </w:p>
    <w:p w:rsidR="2D4E9C6B" w:rsidP="1F3CDA55" w:rsidRDefault="2D4E9C6B" w14:paraId="0953A75D" w14:textId="33E2F9ED">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Ayrıca, üretim tesislerinde kullanılan mekanik aksamın yurt içinde imal edilmiş ve yerli malı belgesine sahip olması halinde, işletmeye girilen yıldan itibaren kaynak türüne göre belirlenen süre ve fiyatlar üzerinden Yerli Katkı Fiyatı uygulanmaktadır.</w:t>
      </w:r>
    </w:p>
    <w:p w:rsidR="2D4E9C6B" w:rsidP="1F3CDA55" w:rsidRDefault="2D4E9C6B" w14:paraId="56F4D0C7" w14:textId="69298871">
      <w:pPr>
        <w:pStyle w:val="Balk3"/>
        <w:spacing w:before="281" w:beforeAutospacing="off" w:after="281" w:afterAutospacing="off"/>
        <w:jc w:val="both"/>
        <w:rPr>
          <w:rFonts w:ascii="Arial" w:hAnsi="Arial" w:eastAsia="Arial" w:cs="Arial"/>
          <w:b w:val="1"/>
          <w:bCs w:val="1"/>
          <w:i w:val="0"/>
          <w:iCs w:val="0"/>
          <w:noProof/>
          <w:color w:val="auto"/>
          <w:sz w:val="22"/>
          <w:szCs w:val="22"/>
          <w:lang w:val="en-US"/>
        </w:rPr>
      </w:pPr>
      <w:r w:rsidRPr="1F3CDA55" w:rsidR="1A2F647C">
        <w:rPr>
          <w:rFonts w:ascii="Arial" w:hAnsi="Arial" w:eastAsia="Arial" w:cs="Arial"/>
          <w:b w:val="1"/>
          <w:bCs w:val="1"/>
          <w:i w:val="0"/>
          <w:iCs w:val="0"/>
          <w:noProof/>
          <w:color w:val="auto"/>
          <w:sz w:val="22"/>
          <w:szCs w:val="22"/>
          <w:lang w:val="en-US"/>
        </w:rPr>
        <w:t>5. Genel Değerlendirme</w:t>
      </w:r>
    </w:p>
    <w:p w:rsidR="2D4E9C6B" w:rsidP="1F3CDA55" w:rsidRDefault="2D4E9C6B" w14:paraId="3B7B10FB" w14:textId="23559C03">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Sonuç olarak, yenilenebilir enerji kaynaklarına dayalı elektrik üretim faaliyetlerinde lisans süreci; idari, teknik ve hukuki yönleri bulunan çok aşamalı bir yapı arz etmektedir.</w:t>
      </w:r>
    </w:p>
    <w:p w:rsidR="2D4E9C6B" w:rsidP="1F3CDA55" w:rsidRDefault="2D4E9C6B" w14:paraId="10F88850" w14:textId="10ECCFBE">
      <w:pPr>
        <w:spacing w:before="240" w:beforeAutospacing="off" w:after="240" w:afterAutospacing="off"/>
        <w:jc w:val="both"/>
        <w:rPr>
          <w:rFonts w:ascii="Arial" w:hAnsi="Arial" w:eastAsia="Arial" w:cs="Arial"/>
          <w:i w:val="0"/>
          <w:iCs w:val="0"/>
          <w:noProof/>
          <w:color w:val="auto"/>
          <w:sz w:val="22"/>
          <w:szCs w:val="22"/>
          <w:lang w:val="en-US"/>
        </w:rPr>
      </w:pPr>
      <w:r w:rsidRPr="1F3CDA55" w:rsidR="1A2F647C">
        <w:rPr>
          <w:rFonts w:ascii="Arial" w:hAnsi="Arial" w:eastAsia="Arial" w:cs="Arial"/>
          <w:i w:val="0"/>
          <w:iCs w:val="0"/>
          <w:noProof/>
          <w:color w:val="auto"/>
          <w:sz w:val="22"/>
          <w:szCs w:val="22"/>
          <w:lang w:val="en-US"/>
        </w:rPr>
        <w:t>Bu itibarla, elektrik piyasasında üretim faaliyetinde bulunmak isteyen tüzel kişilerin söz konusu süreçleri dikkatle ve alanında uzman kişiler gözetiminde yürütmeleri önem arz etmektedir.</w:t>
      </w:r>
    </w:p>
    <w:p w:rsidR="7AE2C74C" w:rsidP="1F3CDA55" w:rsidRDefault="7AE2C74C" w14:paraId="138AEFE2" w14:textId="0E0BCF55">
      <w:pPr>
        <w:jc w:val="both"/>
        <w:rPr>
          <w:rFonts w:ascii="Arial" w:hAnsi="Arial" w:eastAsia="Arial" w:cs="Arial"/>
          <w:i w:val="0"/>
          <w:iCs w:val="0"/>
          <w:color w:val="auto"/>
          <w:sz w:val="22"/>
          <w:szCs w:val="22"/>
        </w:rPr>
      </w:pPr>
    </w:p>
    <w:p w:rsidR="7AE2C74C" w:rsidP="1F3CDA55" w:rsidRDefault="7AE2C74C" w14:paraId="1D007AEF" w14:textId="7E8D0C04">
      <w:pPr>
        <w:jc w:val="both"/>
        <w:rPr>
          <w:rFonts w:ascii="Arial" w:hAnsi="Arial" w:eastAsia="Arial" w:cs="Arial"/>
          <w:i w:val="0"/>
          <w:iCs w:val="0"/>
          <w:color w:val="auto"/>
          <w:sz w:val="22"/>
          <w:szCs w:val="22"/>
        </w:rPr>
      </w:pPr>
    </w:p>
    <w:p w:rsidRPr="00D3199E" w:rsidR="00CB58E1" w:rsidP="1F3CDA55" w:rsidRDefault="00CB58E1" w14:paraId="20C924E3" w14:textId="77777777">
      <w:pPr>
        <w:jc w:val="both"/>
        <w:rPr>
          <w:rFonts w:ascii="Arial" w:hAnsi="Arial" w:eastAsia="Arial" w:cs="Arial"/>
          <w:i w:val="0"/>
          <w:iCs w:val="0"/>
          <w:color w:val="auto"/>
          <w:sz w:val="22"/>
          <w:szCs w:val="22"/>
        </w:rPr>
      </w:pPr>
      <w:r w:rsidRPr="1F3CDA55">
        <w:rPr>
          <w:rFonts w:ascii="Arial" w:hAnsi="Arial" w:eastAsia="Arial" w:cs="Arial"/>
          <w:i w:val="0"/>
          <w:iCs w:val="0"/>
          <w:color w:val="auto"/>
          <w:sz w:val="22"/>
          <w:szCs w:val="22"/>
        </w:rPr>
        <w:br w:type="page"/>
      </w:r>
    </w:p>
    <w:p w:rsidRPr="00D3199E" w:rsidR="00A955FC" w:rsidP="1F3CDA55" w:rsidRDefault="00F90678" w14:paraId="7E9D3886" w14:textId="2013E5CF">
      <w:pPr>
        <w:jc w:val="both"/>
        <w:rPr>
          <w:rFonts w:ascii="Arial" w:hAnsi="Arial" w:eastAsia="Arial" w:cs="Arial"/>
          <w:i w:val="0"/>
          <w:iCs w:val="0"/>
          <w:color w:val="auto"/>
          <w:sz w:val="22"/>
          <w:szCs w:val="22"/>
        </w:rPr>
      </w:pPr>
      <w:r w:rsidRPr="1F3CDA55" w:rsidR="7E847A92">
        <w:rPr>
          <w:rFonts w:ascii="Arial" w:hAnsi="Arial" w:eastAsia="Arial" w:cs="Arial"/>
          <w:i w:val="0"/>
          <w:iCs w:val="0"/>
          <w:color w:val="auto"/>
          <w:sz w:val="22"/>
          <w:szCs w:val="22"/>
        </w:rPr>
        <w:t>EKİM 2025</w:t>
      </w:r>
    </w:p>
    <w:p w:rsidR="78E23781" w:rsidP="1F3CDA55" w:rsidRDefault="78E23781" w14:paraId="72EBE06C" w14:textId="2DB4E67D">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b w:val="1"/>
          <w:bCs w:val="1"/>
          <w:i w:val="0"/>
          <w:iCs w:val="0"/>
          <w:noProof/>
          <w:color w:val="auto"/>
          <w:sz w:val="22"/>
          <w:szCs w:val="22"/>
          <w:lang w:val="tr-TR"/>
        </w:rPr>
        <w:t>YENİLENEBİLİR ENERJİ YATIRIMLARINDA DEVLET TEŞVİKİ</w:t>
      </w:r>
      <w:r w:rsidRPr="1F3CDA55" w:rsidR="4C305157">
        <w:rPr>
          <w:rFonts w:ascii="Arial" w:hAnsi="Arial" w:eastAsia="Arial" w:cs="Arial"/>
          <w:i w:val="0"/>
          <w:iCs w:val="0"/>
          <w:noProof/>
          <w:color w:val="auto"/>
          <w:sz w:val="22"/>
          <w:szCs w:val="22"/>
          <w:lang w:val="tr-TR"/>
        </w:rPr>
        <w:t xml:space="preserve"> </w:t>
      </w:r>
    </w:p>
    <w:p w:rsidR="78E23781" w:rsidP="1F3CDA55" w:rsidRDefault="78E23781" w14:paraId="0F8EA5F8" w14:textId="1D939EB3">
      <w:pPr>
        <w:pStyle w:val="Balk3"/>
        <w:spacing w:before="281" w:beforeAutospacing="off" w:after="281" w:afterAutospacing="off"/>
        <w:jc w:val="both"/>
        <w:rPr>
          <w:rFonts w:ascii="Arial" w:hAnsi="Arial" w:eastAsia="Arial" w:cs="Arial"/>
          <w:b w:val="1"/>
          <w:bCs w:val="1"/>
          <w:i w:val="0"/>
          <w:iCs w:val="0"/>
          <w:noProof/>
          <w:color w:val="auto"/>
          <w:sz w:val="22"/>
          <w:szCs w:val="22"/>
          <w:lang w:val="tr-TR"/>
        </w:rPr>
      </w:pPr>
      <w:r w:rsidRPr="1F3CDA55" w:rsidR="4C305157">
        <w:rPr>
          <w:rFonts w:ascii="Arial" w:hAnsi="Arial" w:eastAsia="Arial" w:cs="Arial"/>
          <w:b w:val="1"/>
          <w:bCs w:val="1"/>
          <w:i w:val="0"/>
          <w:iCs w:val="0"/>
          <w:noProof/>
          <w:color w:val="auto"/>
          <w:sz w:val="22"/>
          <w:szCs w:val="22"/>
          <w:lang w:val="tr-TR"/>
        </w:rPr>
        <w:t>Yenilenebilir Enerji Kaynakları Destekleme Mekanizması</w:t>
      </w:r>
    </w:p>
    <w:p w:rsidR="78E23781" w:rsidP="1F3CDA55" w:rsidRDefault="78E23781" w14:paraId="12C288A7" w14:textId="0F9E4890">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Yenilenebilir enerji yatırımları, sürdürülebilir kalkınmanın temel unsurlarından biri hâline gelmiş olup, Türkiye’de bu alandaki projelerin desteklenmesi amacıyla geliştirilen en önemli mekanizmalardan biri Yenilenebilir Enerji Kaynakları Destekleme Mekanizması’dır (“YEKDEM”).</w:t>
      </w:r>
    </w:p>
    <w:p w:rsidR="78E23781" w:rsidP="1F3CDA55" w:rsidRDefault="78E23781" w14:paraId="6A68A006" w14:textId="6F443404">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YEKDEM, yenilenebilir enerji kaynaklarından (güneş, rüzgâr, hidroelektrik, biyokütle, jeotermal) elektrik enerjisi üreten lisanslı üretim tesislerine, devlet tarafından belirlenen sabit fiyatlar üzerinden belirli bir süre boyunca alım garantisi sağlayan bir destekleme sistemidir. Bu kapsamda yatırımcılar, piyasa koşullarından bağımsız olarak uzun vadeli ve öngörülebilir gelir elde edebilmekte ve finansman kaynaklarına daha kolay erişebilmektedir.</w:t>
      </w:r>
    </w:p>
    <w:p w:rsidR="78E23781" w:rsidP="1F3CDA55" w:rsidRDefault="78E23781" w14:paraId="6393F376" w14:textId="79E42B3E">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Bu destek mekanizmasından yararlanmak isteyen işletmelerin Enerji Piyasası Düzenleme Kurumu’na (“EPDK”) başvurarak Yenilenebilir Enerji Kaynak (“YEK”) Belgesi almaları gerekmektedir. 5346 sayılı Kanun’un 6. maddesi kapsamında düzenlenen bu sistem, yenilenebilir enerji üretimini teşvik etmekte ve enerji arz güvenliğine katkı sağlamaktadır.</w:t>
      </w:r>
    </w:p>
    <w:p w:rsidR="78E23781" w:rsidP="1F3CDA55" w:rsidRDefault="78E23781" w14:paraId="7EA28C79" w14:textId="50B437FD">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YEKDEM kapsamında sağlanan destekler, 2020 yılına kadar ABD doları bazlı fiyatlar üzerinden uygulanmış; 2021 yılından itibaren işletmeye giren tesisler bakımından ise destekleme bedelleri Türk Lirası cinsinden ve EPDK tarafından her yıl yayımlanan tarifeler esas alınarak belirlenmeye başlanmıştır. Bu değişiklik, yatırımcılar açısından döviz kuru ve enflasyon risklerinin dikkate alınmasını zorunlu kılmıştır. Bu itibarla yatırım kararlarının alınmasında yalnızca teknik fizibilite değil, aynı zamanda makroekonomik öngörüler de önem arz etmektedir.</w:t>
      </w:r>
    </w:p>
    <w:p w:rsidR="78E23781" w:rsidP="1F3CDA55" w:rsidRDefault="78E23781" w14:paraId="3A84CC22" w14:textId="03D36A1B">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Öte yandan YEKDEM, yalnızca lisanslı üretim tesislerine değil, kendi tüketimini karşılamak amacıyla yenilenebilir enerji üretimi gerçekleştiren gerçek ve tüzel kişilere de belirli ölçüde destek sağlamaktadır. Lisanssız elektrik üretimi kapsamında faaliyet gösteren kişiler, ihtiyaç fazlası elektrik enerjisini şebekeye vermeleri hâlinde, bu üretim miktarı bakımından YEKDEM kapsamındaki teşviklerden yararlanabilmektedir. Bu düzenleme, bireysel yatırımcıların ve küçük ölçekli işletmelerin enerji dönüşüm sürecine katılımını teşvik etmektedir.</w:t>
      </w:r>
    </w:p>
    <w:p w:rsidR="78E23781" w:rsidP="1F3CDA55" w:rsidRDefault="78E23781" w14:paraId="136B296E" w14:textId="25BFEFE8">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YEKDEM, hem büyük ölçekli enerji projeleri hem de küçük ölçekli üreticiler açısından önemli fırsatlar sunmakta; Türkiye’nin enerji arz güvenliği, kaynak çeşitliliği ve sürdürülebilir çevre politikaları bakımından stratejik bir rol üstlenmektedir.</w:t>
      </w:r>
    </w:p>
    <w:p w:rsidR="78E23781" w:rsidP="1F3CDA55" w:rsidRDefault="78E23781" w14:paraId="0EBCF8D7" w14:textId="209F993F">
      <w:pPr>
        <w:pStyle w:val="Balk3"/>
        <w:spacing w:before="281" w:beforeAutospacing="off" w:after="281" w:afterAutospacing="off"/>
        <w:jc w:val="both"/>
        <w:rPr>
          <w:rFonts w:ascii="Arial" w:hAnsi="Arial" w:eastAsia="Arial" w:cs="Arial"/>
          <w:b w:val="1"/>
          <w:bCs w:val="1"/>
          <w:i w:val="0"/>
          <w:iCs w:val="0"/>
          <w:noProof/>
          <w:color w:val="auto"/>
          <w:sz w:val="22"/>
          <w:szCs w:val="22"/>
          <w:lang w:val="tr-TR"/>
        </w:rPr>
      </w:pPr>
      <w:r w:rsidRPr="1F3CDA55" w:rsidR="4C305157">
        <w:rPr>
          <w:rFonts w:ascii="Arial" w:hAnsi="Arial" w:eastAsia="Arial" w:cs="Arial"/>
          <w:b w:val="1"/>
          <w:bCs w:val="1"/>
          <w:i w:val="0"/>
          <w:iCs w:val="0"/>
          <w:noProof/>
          <w:color w:val="auto"/>
          <w:sz w:val="22"/>
          <w:szCs w:val="22"/>
          <w:lang w:val="tr-TR"/>
        </w:rPr>
        <w:t>Yerli Aksam Teşviki</w:t>
      </w:r>
    </w:p>
    <w:p w:rsidR="78E23781" w:rsidP="1F3CDA55" w:rsidRDefault="78E23781" w14:paraId="40935480" w14:textId="45047EDC">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Yenilenebilir enerji yatırımlarında yerli sanayinin desteklenmesi ve yeşil dönüşümün teşvik edilmesi amacıyla, 5346 sayılı Yenilenebilir Enerji Kaynaklarının Elektrik Enerjisi Üretimi Amaçlı Kullanımına İlişkin Kanun (“Kanun”) kapsamında çeşitli teşvik mekanizmaları öngörülmüştür. Bu teşvikler, uluslararası çevre politikaları ve özellikle Paris İklim Anlaşması’na uyum hedefleri doğrultusunda geliştirilmiştir.</w:t>
      </w:r>
    </w:p>
    <w:p w:rsidR="78E23781" w:rsidP="1F3CDA55" w:rsidRDefault="78E23781" w14:paraId="439B5800" w14:textId="39A97958">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Bu kapsamda, yenilenebilir enerji üretim tesislerinde yerli aksam kullanımının teşvik edilmesi başlıca destek unsurlarından birini oluşturmaktadır. Mevzuat uyarınca yerli aksam teşvikine ilişkin düzenlemeler zamansal olarak iki farklı döneme ayrılmaktadır:</w:t>
      </w:r>
    </w:p>
    <w:p w:rsidR="78E23781" w:rsidP="1F3CDA55" w:rsidRDefault="78E23781" w14:paraId="4E0CC494" w14:textId="79CCE6AD">
      <w:pPr>
        <w:pStyle w:val="ListeParagraf"/>
        <w:numPr>
          <w:ilvl w:val="0"/>
          <w:numId w:val="67"/>
        </w:numPr>
        <w:spacing w:before="0" w:beforeAutospacing="off" w:after="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b w:val="1"/>
          <w:bCs w:val="1"/>
          <w:i w:val="0"/>
          <w:iCs w:val="0"/>
          <w:noProof/>
          <w:color w:val="auto"/>
          <w:sz w:val="22"/>
          <w:szCs w:val="22"/>
          <w:lang w:val="tr-TR"/>
        </w:rPr>
        <w:t>30 Haziran 2021 tarihinden önce işletmeye giren tesisler bakımından:</w:t>
      </w:r>
      <w:r>
        <w:br/>
      </w:r>
      <w:r w:rsidRPr="1F3CDA55" w:rsidR="4C305157">
        <w:rPr>
          <w:rFonts w:ascii="Arial" w:hAnsi="Arial" w:eastAsia="Arial" w:cs="Arial"/>
          <w:i w:val="0"/>
          <w:iCs w:val="0"/>
          <w:noProof/>
          <w:color w:val="auto"/>
          <w:sz w:val="22"/>
          <w:szCs w:val="22"/>
          <w:lang w:val="tr-TR"/>
        </w:rPr>
        <w:t xml:space="preserve"> Bu tarihten önce işletmeye giren lisanslı üretim tesislerinde, üretimde kullanılan mekanik ve/veya elektromekanik aksamın yurt içinde imal edilmiş olması hâlinde, söz konusu tesislerin şebekeye verdikleri elektrik enerjisi için Kanun’a ekli I sayılı cetvelde yer alan alım fiyatlarına ilave olarak II sayılı cetvelde belirtilen yerli aksam destek fiyatları uygulanmaktadır. Bu ilave destek, tesisin işletmeye giriş tarihinden itibaren beş yıl süreyle geçerlidir. </w:t>
      </w:r>
    </w:p>
    <w:p w:rsidR="78E23781" w:rsidP="1F3CDA55" w:rsidRDefault="78E23781" w14:paraId="18D26D55" w14:textId="74599E4B">
      <w:pPr>
        <w:pStyle w:val="ListeParagraf"/>
        <w:numPr>
          <w:ilvl w:val="0"/>
          <w:numId w:val="67"/>
        </w:numPr>
        <w:spacing w:before="0" w:beforeAutospacing="off" w:after="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b w:val="1"/>
          <w:bCs w:val="1"/>
          <w:i w:val="0"/>
          <w:iCs w:val="0"/>
          <w:noProof/>
          <w:color w:val="auto"/>
          <w:sz w:val="22"/>
          <w:szCs w:val="22"/>
          <w:lang w:val="tr-TR"/>
        </w:rPr>
        <w:t>30 Haziran 2021 tarihinden sonra işletmeye giren tesisler bakımından:</w:t>
      </w:r>
      <w:r>
        <w:br/>
      </w:r>
      <w:r w:rsidRPr="1F3CDA55" w:rsidR="4C305157">
        <w:rPr>
          <w:rFonts w:ascii="Arial" w:hAnsi="Arial" w:eastAsia="Arial" w:cs="Arial"/>
          <w:i w:val="0"/>
          <w:iCs w:val="0"/>
          <w:noProof/>
          <w:color w:val="auto"/>
          <w:sz w:val="22"/>
          <w:szCs w:val="22"/>
          <w:lang w:val="tr-TR"/>
        </w:rPr>
        <w:t xml:space="preserve"> Bu tarihten sonra devreye alınan yenilenebilir enerji üretim tesislerinde yerli aksam kullanılması hâlinde destek sistemi Türk Lirası bazlı olarak uygulanmaktadır. YEK Belgesi sahibi lisanslı üretim tesisleri ile tüketim ihtiyacını karşılamaya yönelik lisanssız üretim tesisleri için uygulanacak yerli katkı fiyatları, bu fiyatların güncellenmesi, uygulama süresi ve diğer usul ve esaslar Cumhurbaşkanı tarafından belirlenmekte ve ilan edilmektedir. Bu düzenleme ile yatırımcılar açısından öngörülebilirliğin artırılması ve yerli üretimin teşvik edilmesi amaçlanmaktadır. </w:t>
      </w:r>
    </w:p>
    <w:p w:rsidR="78E23781" w:rsidP="1F3CDA55" w:rsidRDefault="78E23781" w14:paraId="68358B56" w14:textId="2E8122A3">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Yerli aksamın kapsamı, teknik standartları, sertifikasyon süreçleri ve denetim mekanizmaları Yerli Aksam Yönetmeliği kapsamında düzenlenmektedir. Bu sayede yerli üretimin niteliğinin artırılması ve teşvik sisteminin kötüye kullanımının önlenmesi hedeflenmektedir.</w:t>
      </w:r>
    </w:p>
    <w:p w:rsidR="78E23781" w:rsidP="1F3CDA55" w:rsidRDefault="78E23781" w14:paraId="07704032" w14:textId="271A36B1">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Öte yandan, YEKDEM’e kayıtlı olmayan ancak 30 Haziran 2021 tarihinden sonra işletmeye giren ve yerli aksam kullanan üretim tesisleri de bu destekten yararlanabilmektedir. Bu tesislere yapılacak ödemeler, 7189 sayılı Cumhurbaşkanı Kararı uyarınca belirlenen yerli aksam destek fiyatı esas alınarak ve ilgili tesisin uzlaştırmaya esas veriş miktarı dikkate alınmak suretiyle hesaplanmakta ve YEK Bedeli olarak hak sahibine ödenmektedir.</w:t>
      </w:r>
    </w:p>
    <w:p w:rsidR="78E23781" w:rsidP="1F3CDA55" w:rsidRDefault="78E23781" w14:paraId="40D5BB92" w14:textId="61794FFE">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Bu teşvik mekanizması sayesinde hem yenilenebilir enerji yatırımları desteklenmekte hem de yerli sanayinin bu yatırımların bir parçası hâline gelmesi sağlanarak Türkiye’nin enerji teknolojilerinde dışa bağımlılığının azaltılması amaçlanmaktadır.</w:t>
      </w:r>
    </w:p>
    <w:p w:rsidR="78E23781" w:rsidP="1F3CDA55" w:rsidRDefault="78E23781" w14:paraId="61207C8B" w14:textId="5D0C8EAE">
      <w:pPr>
        <w:pStyle w:val="Balk3"/>
        <w:spacing w:before="281" w:beforeAutospacing="off" w:after="281" w:afterAutospacing="off"/>
        <w:jc w:val="both"/>
        <w:rPr>
          <w:rFonts w:ascii="Arial" w:hAnsi="Arial" w:eastAsia="Arial" w:cs="Arial"/>
          <w:b w:val="1"/>
          <w:bCs w:val="1"/>
          <w:i w:val="0"/>
          <w:iCs w:val="0"/>
          <w:noProof/>
          <w:color w:val="auto"/>
          <w:sz w:val="22"/>
          <w:szCs w:val="22"/>
          <w:lang w:val="tr-TR"/>
        </w:rPr>
      </w:pPr>
      <w:r w:rsidRPr="1F3CDA55" w:rsidR="4C305157">
        <w:rPr>
          <w:rFonts w:ascii="Arial" w:hAnsi="Arial" w:eastAsia="Arial" w:cs="Arial"/>
          <w:b w:val="1"/>
          <w:bCs w:val="1"/>
          <w:i w:val="0"/>
          <w:iCs w:val="0"/>
          <w:noProof/>
          <w:color w:val="auto"/>
          <w:sz w:val="22"/>
          <w:szCs w:val="22"/>
          <w:lang w:val="tr-TR"/>
        </w:rPr>
        <w:t>Diğer İdari Kolaylıklar ve Teşvikler</w:t>
      </w:r>
    </w:p>
    <w:p w:rsidR="78E23781" w:rsidP="1F3CDA55" w:rsidRDefault="78E23781" w14:paraId="7EC342ED" w14:textId="253B1FE4">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Yukarıda belirtilen teşvik mekanizmalarının yanı sıra, yenilenebilir enerji yatırımlarına ilişkin idari süreçlerde de çeşitli kolaylıklar sağlanmıştır. Bu kapsamda 7226 sayılı Kanun ile yapılan değişiklikler doğrultusunda, yenilenebilir enerji kaynak alanı olarak belirlenen taşınmazlar bakımından acele kamulaştırma uygulamasına imkân tanınmıştır. Bu düzenleme, özel mülkiyete konu taşınmazların enerji yatırımlarına tahsisini kolaylaştırmayı amaçlamaktadır.</w:t>
      </w:r>
    </w:p>
    <w:p w:rsidR="78E23781" w:rsidP="1F3CDA55" w:rsidRDefault="78E23781" w14:paraId="2410B8BD" w14:textId="42C310C3">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Bu tür kamulaştırma uygulamaları, yatırımcılar açısından arazi temini ve izin süreçlerinde karşılaşılabilecek idari engellerin azaltılmasına katkı sağlamaktadır.</w:t>
      </w:r>
    </w:p>
    <w:p w:rsidR="78E23781" w:rsidP="1F3CDA55" w:rsidRDefault="78E23781" w14:paraId="77A63C7D" w14:textId="4E447935">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Bunun yanında, lisanssız üretim kapsamında özellikle çatı ve cephe tipi kurulumlar bakımından vergi muafiyetlerine ilişkin düzenlemeler de bulunmaktadır. 2021 yılında yürürlüğe giren 7349 sayılı Kanun ile meskenlerin çatı ve/veya cephelerine kurulan yenilenebilir enerji sistemlerinden elde edilen ihtiyaç fazlası elektrik enerjisi satışına ilişkin gelir vergisi muafiyeti sınırı 10 kW’tan 25 kW’a yükseltilmiştir. Bu düzenlemeler, yatırımın geri dönüş süresini kısaltmayı ve bireysel üreticileri teşvik etmeyi amaçlamaktadır.</w:t>
      </w:r>
    </w:p>
    <w:p w:rsidR="78E23781" w:rsidP="1F3CDA55" w:rsidRDefault="78E23781" w14:paraId="5434AE3E" w14:textId="0ED60836">
      <w:pPr>
        <w:pStyle w:val="Balk3"/>
        <w:spacing w:before="281" w:beforeAutospacing="off" w:after="281" w:afterAutospacing="off"/>
        <w:jc w:val="both"/>
        <w:rPr>
          <w:rFonts w:ascii="Arial" w:hAnsi="Arial" w:eastAsia="Arial" w:cs="Arial"/>
          <w:b w:val="1"/>
          <w:bCs w:val="1"/>
          <w:i w:val="0"/>
          <w:iCs w:val="0"/>
          <w:noProof/>
          <w:color w:val="auto"/>
          <w:sz w:val="22"/>
          <w:szCs w:val="22"/>
          <w:lang w:val="tr-TR"/>
        </w:rPr>
      </w:pPr>
      <w:r w:rsidRPr="1F3CDA55" w:rsidR="4C305157">
        <w:rPr>
          <w:rFonts w:ascii="Arial" w:hAnsi="Arial" w:eastAsia="Arial" w:cs="Arial"/>
          <w:b w:val="1"/>
          <w:bCs w:val="1"/>
          <w:i w:val="0"/>
          <w:iCs w:val="0"/>
          <w:noProof/>
          <w:color w:val="auto"/>
          <w:sz w:val="22"/>
          <w:szCs w:val="22"/>
          <w:lang w:val="tr-TR"/>
        </w:rPr>
        <w:t>Genel Değerlendirme</w:t>
      </w:r>
    </w:p>
    <w:p w:rsidR="78E23781" w:rsidP="1F3CDA55" w:rsidRDefault="78E23781" w14:paraId="32DBC8DC" w14:textId="047FAD5D">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Sonuç olarak, 5346 sayılı Kanun ve ilgili ikincil mevzuat hükümleri, yenilenebilir enerji üretim tesislerinin kurulması, belgelendirilmesi, desteklenmesi ve işletilmesi süreçlerinde yatırımcılara önemli idari kolaylıklar ve finansal güvenceler sunmaktadır.</w:t>
      </w:r>
    </w:p>
    <w:p w:rsidR="78E23781" w:rsidP="1F3CDA55" w:rsidRDefault="78E23781" w14:paraId="108BA30B" w14:textId="1BA1AD30">
      <w:pPr>
        <w:spacing w:before="240" w:beforeAutospacing="off" w:after="240" w:afterAutospacing="off"/>
        <w:jc w:val="both"/>
        <w:rPr>
          <w:rFonts w:ascii="Arial" w:hAnsi="Arial" w:eastAsia="Arial" w:cs="Arial"/>
          <w:i w:val="0"/>
          <w:iCs w:val="0"/>
          <w:noProof/>
          <w:color w:val="auto"/>
          <w:sz w:val="22"/>
          <w:szCs w:val="22"/>
          <w:lang w:val="tr-TR"/>
        </w:rPr>
      </w:pPr>
      <w:r w:rsidRPr="1F3CDA55" w:rsidR="4C305157">
        <w:rPr>
          <w:rFonts w:ascii="Arial" w:hAnsi="Arial" w:eastAsia="Arial" w:cs="Arial"/>
          <w:i w:val="0"/>
          <w:iCs w:val="0"/>
          <w:noProof/>
          <w:color w:val="auto"/>
          <w:sz w:val="22"/>
          <w:szCs w:val="22"/>
          <w:lang w:val="tr-TR"/>
        </w:rPr>
        <w:t>Bu düzenlemeler, yatırım risklerinin azaltılmasını, izin süreçlerinin kolaylaştırılmasını ve finansal planlama bakımından öngörülebilirliğin artırılmasını amaçlamaktadır.</w:t>
      </w:r>
    </w:p>
    <w:p w:rsidR="7AE2C74C" w:rsidP="1F3CDA55" w:rsidRDefault="7AE2C74C" w14:paraId="47E763AB" w14:textId="665E5336">
      <w:pPr>
        <w:jc w:val="both"/>
        <w:rPr>
          <w:rFonts w:ascii="Arial" w:hAnsi="Arial" w:eastAsia="Arial" w:cs="Arial"/>
          <w:i w:val="0"/>
          <w:iCs w:val="0"/>
          <w:color w:val="auto"/>
          <w:sz w:val="22"/>
          <w:szCs w:val="22"/>
          <w:lang w:val="tr-TR"/>
        </w:rPr>
      </w:pPr>
    </w:p>
    <w:p w:rsidRPr="00D3199E" w:rsidR="00A955FC" w:rsidP="1F3CDA55" w:rsidRDefault="00A955FC" w14:paraId="2274BBD6" w14:textId="77777777">
      <w:pPr>
        <w:jc w:val="both"/>
        <w:rPr>
          <w:rFonts w:ascii="Arial" w:hAnsi="Arial" w:eastAsia="Arial" w:cs="Arial"/>
          <w:i w:val="0"/>
          <w:iCs w:val="0"/>
          <w:color w:val="auto"/>
          <w:sz w:val="22"/>
          <w:szCs w:val="22"/>
          <w:lang w:val="tr-TR"/>
        </w:rPr>
      </w:pPr>
      <w:r w:rsidRPr="1F3CDA55">
        <w:rPr>
          <w:rFonts w:ascii="Arial" w:hAnsi="Arial" w:eastAsia="Arial" w:cs="Arial"/>
          <w:i w:val="0"/>
          <w:iCs w:val="0"/>
          <w:color w:val="auto"/>
          <w:sz w:val="22"/>
          <w:szCs w:val="22"/>
          <w:lang w:val="tr-TR"/>
        </w:rPr>
        <w:br w:type="page"/>
      </w:r>
    </w:p>
    <w:p w:rsidRPr="00D3199E" w:rsidR="009E612E" w:rsidP="1F3CDA55" w:rsidRDefault="009E612E" w14:paraId="16190A1E" w14:textId="655F85EB">
      <w:pPr>
        <w:jc w:val="both"/>
        <w:rPr>
          <w:rFonts w:ascii="Arial" w:hAnsi="Arial" w:eastAsia="Arial" w:cs="Arial"/>
          <w:i w:val="0"/>
          <w:iCs w:val="0"/>
          <w:color w:val="auto"/>
          <w:sz w:val="22"/>
          <w:szCs w:val="22"/>
          <w:lang w:val="tr-TR"/>
        </w:rPr>
      </w:pPr>
      <w:r w:rsidRPr="1F3CDA55" w:rsidR="3574EC21">
        <w:rPr>
          <w:rFonts w:ascii="Arial" w:hAnsi="Arial" w:eastAsia="Arial" w:cs="Arial"/>
          <w:i w:val="0"/>
          <w:iCs w:val="0"/>
          <w:color w:val="auto"/>
          <w:sz w:val="22"/>
          <w:szCs w:val="22"/>
          <w:lang w:val="tr-TR"/>
        </w:rPr>
        <w:t>AĞUSTOS 2025</w:t>
      </w:r>
    </w:p>
    <w:p w:rsidR="36FC880A" w:rsidP="1F3CDA55" w:rsidRDefault="36FC880A" w14:paraId="3C12D2F1" w14:textId="1D490AA9">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b w:val="1"/>
          <w:bCs w:val="1"/>
          <w:i w:val="0"/>
          <w:iCs w:val="0"/>
          <w:noProof/>
          <w:color w:val="auto"/>
          <w:sz w:val="22"/>
          <w:szCs w:val="22"/>
          <w:lang w:val="en-US"/>
        </w:rPr>
        <w:t>TÜRK MEVZUATINDA ELEKTRİK DEPOLAMA FAALİYETİNE İLİŞKİN DÜZENLEMELER</w:t>
      </w:r>
      <w:r w:rsidRPr="1F3CDA55" w:rsidR="6F2FDE13">
        <w:rPr>
          <w:rFonts w:ascii="Arial" w:hAnsi="Arial" w:eastAsia="Arial" w:cs="Arial"/>
          <w:i w:val="0"/>
          <w:iCs w:val="0"/>
          <w:noProof/>
          <w:color w:val="auto"/>
          <w:sz w:val="22"/>
          <w:szCs w:val="22"/>
          <w:lang w:val="en-US"/>
        </w:rPr>
        <w:t xml:space="preserve"> </w:t>
      </w:r>
    </w:p>
    <w:p w:rsidR="36FC880A" w:rsidP="1F3CDA55" w:rsidRDefault="36FC880A" w14:paraId="0AC3EBC0" w14:textId="0640FF04">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Günümüzde yenilenebilir enerji kaynaklarının elektrik üretimindeki payı hızla artmakta olup, bu durum enerji arzının sürdürülebilirliği açısından önemli fırsatlar sunmaktadır. Bununla birlikte, özellikle güneş ve rüzgâr gibi doğa temelli üretim kaynaklarının değişken ve öngörülemez nitelikte olması, elektrik şebekelerinde dengeleme bakımından çeşitli teknik ve yapısal sorunlara yol açabilmektedir. Bu kapsamda enerji depolama teknolojileri, yalnızca yenilenebilir kaynakların sisteme entegrasyonunu desteklemekle kalmayıp, aynı zamanda arz ve talep dengesinin sağlanması, sistem güvenilirliğinin artırılması ve elektrik piyasalarında fiyat dalgalanmalarının azaltılması bakımından önemli bir işlev icra etmektedir.</w:t>
      </w:r>
    </w:p>
    <w:p w:rsidR="36FC880A" w:rsidP="1F3CDA55" w:rsidRDefault="36FC880A" w14:paraId="338A9550" w14:textId="43DC0E44">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Bu çerçevede Türkiye, son yıllarda enerji depolama sistemlerinin elektrik şebekesine entegrasyonu ve geliştirilmesi amacıyla mevzuat ve teknik uygulamalar bakımından önemli düzenlemeler gerçekleştirmiştir. Depolama faaliyetlerine ilişkin ilk kapsamlı düzenleme, 09/05/2021 tarihinde yayımlanan “Elektrik Piyasasında Depolama Faaliyetleri Yönetmeliği” ile yapılmış olup, takip eden yıllarda gerçekleştirilen değişiklikler ile elektrik piyasasında depolama faaliyetlerinin hukuki altyapısı oluşturulmuştur. Bu kapsamda, güncel mevzuat çerçevesinde elektrik depolama faaliyetlerinin görünümü aşağıdaki şekildedir:</w:t>
      </w:r>
    </w:p>
    <w:p w:rsidR="36FC880A" w:rsidP="1F3CDA55" w:rsidRDefault="36FC880A" w14:paraId="3E051637" w14:textId="27D65C8B">
      <w:pPr>
        <w:pStyle w:val="Balk3"/>
        <w:spacing w:before="281" w:beforeAutospacing="off" w:after="281" w:afterAutospacing="off"/>
        <w:jc w:val="both"/>
        <w:rPr>
          <w:rFonts w:ascii="Arial" w:hAnsi="Arial" w:eastAsia="Arial" w:cs="Arial"/>
          <w:b w:val="1"/>
          <w:bCs w:val="1"/>
          <w:i w:val="0"/>
          <w:iCs w:val="0"/>
          <w:noProof/>
          <w:color w:val="auto"/>
          <w:sz w:val="22"/>
          <w:szCs w:val="22"/>
          <w:lang w:val="en-US"/>
        </w:rPr>
      </w:pPr>
      <w:r w:rsidRPr="1F3CDA55" w:rsidR="6F2FDE13">
        <w:rPr>
          <w:rFonts w:ascii="Arial" w:hAnsi="Arial" w:eastAsia="Arial" w:cs="Arial"/>
          <w:b w:val="1"/>
          <w:bCs w:val="1"/>
          <w:i w:val="0"/>
          <w:iCs w:val="0"/>
          <w:noProof/>
          <w:color w:val="auto"/>
          <w:sz w:val="22"/>
          <w:szCs w:val="22"/>
          <w:lang w:val="en-US"/>
        </w:rPr>
        <w:t>1. Depolama Tesisi Türleri ve Şartları</w:t>
      </w:r>
    </w:p>
    <w:p w:rsidR="36FC880A" w:rsidP="1F3CDA55" w:rsidRDefault="36FC880A" w14:paraId="4996E50A" w14:textId="2015BCAB">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Yönetmelik uyarınca elektrik depolama tesisi; elektrik enerjisini başka bir enerji türüne dönüştürerek depolayabilen ve depolanan enerjiyi ihtiyaç halinde tekrar elektrik enerjisine çevirerek sisteme verebilen tesis olarak tanımlanmaktadır.</w:t>
      </w:r>
    </w:p>
    <w:p w:rsidR="36FC880A" w:rsidP="1F3CDA55" w:rsidRDefault="36FC880A" w14:paraId="4D43919D" w14:textId="65ED2E86">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Bu kapsamda depolama tesisleri, üretim ve/veya tüketim tesisine bağlı olup olmamasına göre aşağıdaki şekilde sınıflandırılmaktadır:</w:t>
      </w:r>
    </w:p>
    <w:p w:rsidR="36FC880A" w:rsidP="1F3CDA55" w:rsidRDefault="36FC880A" w14:paraId="14D1646F" w14:textId="20654BA5">
      <w:pPr>
        <w:pStyle w:val="ListeParagraf"/>
        <w:numPr>
          <w:ilvl w:val="0"/>
          <w:numId w:val="68"/>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Üretim tesisine bütünleşik elektrik depolama tesisi, </w:t>
      </w:r>
    </w:p>
    <w:p w:rsidR="36FC880A" w:rsidP="1F3CDA55" w:rsidRDefault="36FC880A" w14:paraId="6BB26F71" w14:textId="54EC87F1">
      <w:pPr>
        <w:pStyle w:val="ListeParagraf"/>
        <w:numPr>
          <w:ilvl w:val="0"/>
          <w:numId w:val="68"/>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Tüketim tesisine bütünleşik elektrik depolama tesisi, </w:t>
      </w:r>
    </w:p>
    <w:p w:rsidR="36FC880A" w:rsidP="1F3CDA55" w:rsidRDefault="36FC880A" w14:paraId="4F1F9003" w14:textId="4992764E">
      <w:pPr>
        <w:pStyle w:val="ListeParagraf"/>
        <w:numPr>
          <w:ilvl w:val="0"/>
          <w:numId w:val="68"/>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Müstakil elektrik depolama tesisi. </w:t>
      </w:r>
    </w:p>
    <w:p w:rsidR="7AE2C74C" w:rsidP="1F3CDA55" w:rsidRDefault="7AE2C74C" w14:paraId="7B50A142" w14:textId="119161C0">
      <w:pPr>
        <w:jc w:val="both"/>
        <w:rPr>
          <w:rFonts w:ascii="Arial" w:hAnsi="Arial" w:eastAsia="Arial" w:cs="Arial"/>
          <w:i w:val="0"/>
          <w:iCs w:val="0"/>
          <w:color w:val="auto"/>
          <w:sz w:val="22"/>
          <w:szCs w:val="22"/>
        </w:rPr>
      </w:pPr>
    </w:p>
    <w:p w:rsidR="36FC880A" w:rsidP="1F3CDA55" w:rsidRDefault="36FC880A" w14:paraId="7932BC29" w14:textId="5E1F7A3B">
      <w:pPr>
        <w:pStyle w:val="Balk4"/>
        <w:spacing w:before="319" w:beforeAutospacing="off" w:after="319" w:afterAutospacing="off"/>
        <w:jc w:val="both"/>
        <w:rPr>
          <w:rFonts w:ascii="Arial" w:hAnsi="Arial" w:eastAsia="Arial" w:cs="Arial"/>
          <w:b w:val="1"/>
          <w:bCs w:val="1"/>
          <w:i w:val="0"/>
          <w:iCs w:val="0"/>
          <w:noProof/>
          <w:color w:val="auto"/>
          <w:sz w:val="22"/>
          <w:szCs w:val="22"/>
          <w:lang w:val="en-US"/>
        </w:rPr>
      </w:pPr>
      <w:r w:rsidRPr="1F3CDA55" w:rsidR="6F2FDE13">
        <w:rPr>
          <w:rFonts w:ascii="Arial" w:hAnsi="Arial" w:eastAsia="Arial" w:cs="Arial"/>
          <w:b w:val="1"/>
          <w:bCs w:val="1"/>
          <w:i w:val="0"/>
          <w:iCs w:val="0"/>
          <w:noProof/>
          <w:color w:val="auto"/>
          <w:sz w:val="22"/>
          <w:szCs w:val="22"/>
          <w:lang w:val="en-US"/>
        </w:rPr>
        <w:t>1.1. Üretim Tesisine Bütünleşik Elektrik Depolama Tesisi</w:t>
      </w:r>
    </w:p>
    <w:p w:rsidR="36FC880A" w:rsidP="1F3CDA55" w:rsidRDefault="36FC880A" w14:paraId="608C7207" w14:textId="51823FCF">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Yönetmelik uyarınca üretim tesisine bütünleşik elektrik depolama tesisleri, üretim lisansı sahibi tüzel kişiler tarafından kurulabilmektedir. Üretim lisansına ilişkin önlisans başvurusunda depolama tesisine yer verilmek istenmesi hâlinde aşağıdaki şartların sağlanması gerekmektedir:</w:t>
      </w:r>
    </w:p>
    <w:p w:rsidR="36FC880A" w:rsidP="1F3CDA55" w:rsidRDefault="36FC880A" w14:paraId="00CA1A43" w14:textId="026349B6">
      <w:pPr>
        <w:pStyle w:val="ListeParagraf"/>
        <w:numPr>
          <w:ilvl w:val="0"/>
          <w:numId w:val="69"/>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Rüzgâr veya güneş enerjisine dayalı üretim tesisinin elektriksel kurulu gücünün, kurulması taahhüt edilen depolama ünitesinin kurulu gücüne oranının azami 1 olması, </w:t>
      </w:r>
    </w:p>
    <w:p w:rsidR="36FC880A" w:rsidP="1F3CDA55" w:rsidRDefault="36FC880A" w14:paraId="61A47261" w14:textId="30BCA0B1">
      <w:pPr>
        <w:pStyle w:val="ListeParagraf"/>
        <w:numPr>
          <w:ilvl w:val="0"/>
          <w:numId w:val="69"/>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Başvuruların, rüzgâr enerjisine dayalı tesisler bakımından asgari 20 MWe, güneş enerjisine dayalı tesisler bakımından ise asgari 10 MWe kurulu güce sahip olması ve 250 MWe’yi aşmaması, </w:t>
      </w:r>
    </w:p>
    <w:p w:rsidR="36FC880A" w:rsidP="1F3CDA55" w:rsidRDefault="36FC880A" w14:paraId="4756B02F" w14:textId="4D305B17">
      <w:pPr>
        <w:pStyle w:val="ListeParagraf"/>
        <w:numPr>
          <w:ilvl w:val="0"/>
          <w:numId w:val="69"/>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Taahhüt edilen depolama kapasitesinin, depolama ünitesi kurulu gücüne oranının asgari 1 olması, </w:t>
      </w:r>
    </w:p>
    <w:p w:rsidR="36FC880A" w:rsidP="1F3CDA55" w:rsidRDefault="36FC880A" w14:paraId="49F1929D" w14:textId="4AC12F7B">
      <w:pPr>
        <w:pStyle w:val="ListeParagraf"/>
        <w:numPr>
          <w:ilvl w:val="0"/>
          <w:numId w:val="69"/>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Taahhüt edilen depolama ünitesinin başvuruya konu üretim tesisi sahası içerisinde bulunması. </w:t>
      </w:r>
    </w:p>
    <w:p w:rsidR="36FC880A" w:rsidP="1F3CDA55" w:rsidRDefault="36FC880A" w14:paraId="68FF82CD" w14:textId="69A29D76">
      <w:pPr>
        <w:pStyle w:val="Balk4"/>
        <w:spacing w:before="319" w:beforeAutospacing="off" w:after="319" w:afterAutospacing="off"/>
        <w:jc w:val="both"/>
        <w:rPr>
          <w:rFonts w:ascii="Arial" w:hAnsi="Arial" w:eastAsia="Arial" w:cs="Arial"/>
          <w:b w:val="1"/>
          <w:bCs w:val="1"/>
          <w:i w:val="0"/>
          <w:iCs w:val="0"/>
          <w:noProof/>
          <w:color w:val="auto"/>
          <w:sz w:val="22"/>
          <w:szCs w:val="22"/>
          <w:lang w:val="en-US"/>
        </w:rPr>
      </w:pPr>
      <w:r w:rsidRPr="1F3CDA55" w:rsidR="6F2FDE13">
        <w:rPr>
          <w:rFonts w:ascii="Arial" w:hAnsi="Arial" w:eastAsia="Arial" w:cs="Arial"/>
          <w:b w:val="1"/>
          <w:bCs w:val="1"/>
          <w:i w:val="0"/>
          <w:iCs w:val="0"/>
          <w:noProof/>
          <w:color w:val="auto"/>
          <w:sz w:val="22"/>
          <w:szCs w:val="22"/>
          <w:lang w:val="en-US"/>
        </w:rPr>
        <w:t>1.2. Tüketim Tesisine Bütünleşik Elektrik Depolama Tesisi</w:t>
      </w:r>
    </w:p>
    <w:p w:rsidR="36FC880A" w:rsidP="1F3CDA55" w:rsidRDefault="36FC880A" w14:paraId="3DDA84F2" w14:textId="281CD9B5">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Tüketiciler tarafından tüketim tesisine bütünleşik elektrik depolama tesisi kurulabilmekte olup, bu tür tesislerin kurulabilmesi için aşağıdaki şartların sağlanması gerekmektedir:</w:t>
      </w:r>
    </w:p>
    <w:p w:rsidR="36FC880A" w:rsidP="1F3CDA55" w:rsidRDefault="36FC880A" w14:paraId="2935DDDE" w14:textId="400F940E">
      <w:pPr>
        <w:pStyle w:val="ListeParagraf"/>
        <w:numPr>
          <w:ilvl w:val="0"/>
          <w:numId w:val="70"/>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İlgili şebeke işletmecisi tarafından uygun bağlantı görüşünün verilmesi, </w:t>
      </w:r>
    </w:p>
    <w:p w:rsidR="36FC880A" w:rsidP="1F3CDA55" w:rsidRDefault="36FC880A" w14:paraId="51D7CF3B" w14:textId="22E8EF02">
      <w:pPr>
        <w:pStyle w:val="ListeParagraf"/>
        <w:numPr>
          <w:ilvl w:val="0"/>
          <w:numId w:val="70"/>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Kurulu gücün, ilgili tüketim tesisinin bağlantı anlaşmasındaki sözleşme gücünü aşmaması, </w:t>
      </w:r>
    </w:p>
    <w:p w:rsidR="36FC880A" w:rsidP="1F3CDA55" w:rsidRDefault="36FC880A" w14:paraId="3C602B8D" w14:textId="2E32F422">
      <w:pPr>
        <w:pStyle w:val="ListeParagraf"/>
        <w:numPr>
          <w:ilvl w:val="0"/>
          <w:numId w:val="70"/>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Depolama tesisinin tüketim tesisi ile aynı ölçüm noktasında bulunması. </w:t>
      </w:r>
    </w:p>
    <w:p w:rsidR="7AE2C74C" w:rsidP="1F3CDA55" w:rsidRDefault="7AE2C74C" w14:paraId="7CBC0A62" w14:textId="1430F28C">
      <w:pPr>
        <w:jc w:val="both"/>
        <w:rPr>
          <w:rFonts w:ascii="Arial" w:hAnsi="Arial" w:eastAsia="Arial" w:cs="Arial"/>
          <w:i w:val="0"/>
          <w:iCs w:val="0"/>
          <w:color w:val="auto"/>
          <w:sz w:val="22"/>
          <w:szCs w:val="22"/>
        </w:rPr>
      </w:pPr>
    </w:p>
    <w:p w:rsidR="36FC880A" w:rsidP="1F3CDA55" w:rsidRDefault="36FC880A" w14:paraId="4B374423" w14:textId="1ACB8C72">
      <w:pPr>
        <w:pStyle w:val="Balk4"/>
        <w:spacing w:before="319" w:beforeAutospacing="off" w:after="319" w:afterAutospacing="off"/>
        <w:jc w:val="both"/>
        <w:rPr>
          <w:rFonts w:ascii="Arial" w:hAnsi="Arial" w:eastAsia="Arial" w:cs="Arial"/>
          <w:b w:val="1"/>
          <w:bCs w:val="1"/>
          <w:i w:val="0"/>
          <w:iCs w:val="0"/>
          <w:noProof/>
          <w:color w:val="auto"/>
          <w:sz w:val="22"/>
          <w:szCs w:val="22"/>
          <w:lang w:val="en-US"/>
        </w:rPr>
      </w:pPr>
      <w:r w:rsidRPr="1F3CDA55" w:rsidR="6F2FDE13">
        <w:rPr>
          <w:rFonts w:ascii="Arial" w:hAnsi="Arial" w:eastAsia="Arial" w:cs="Arial"/>
          <w:b w:val="1"/>
          <w:bCs w:val="1"/>
          <w:i w:val="0"/>
          <w:iCs w:val="0"/>
          <w:noProof/>
          <w:color w:val="auto"/>
          <w:sz w:val="22"/>
          <w:szCs w:val="22"/>
          <w:lang w:val="en-US"/>
        </w:rPr>
        <w:t>1.3. Müstakil Elektrik Depolama Tesisi</w:t>
      </w:r>
    </w:p>
    <w:p w:rsidR="36FC880A" w:rsidP="1F3CDA55" w:rsidRDefault="36FC880A" w14:paraId="2C00F6BF" w14:textId="31EAFE7C">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Müstakil elektrik depolama tesisleri, herhangi bir üretim veya tüketim tesisi ile bağlantılı olmaksızın doğrudan şebekeye bağlı olarak faaliyet gösteren tesislerdir.</w:t>
      </w:r>
    </w:p>
    <w:p w:rsidR="36FC880A" w:rsidP="1F3CDA55" w:rsidRDefault="36FC880A" w14:paraId="5B6AE98E" w14:textId="4C69499E">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Bu kapsamda, tedarik veya toplayıcı lisansı sahibi tüzel kişiler tarafından, 2 MW kurulu gücünden az olmamak kaydıyla, aynı lisans kapsamında bir veya birden fazla müstakil depolama tesisi kurulabilmektedir.</w:t>
      </w:r>
    </w:p>
    <w:p w:rsidR="36FC880A" w:rsidP="1F3CDA55" w:rsidRDefault="36FC880A" w14:paraId="09FB3297" w14:textId="70640881">
      <w:pPr>
        <w:pStyle w:val="Balk4"/>
        <w:spacing w:before="319" w:beforeAutospacing="off" w:after="319" w:afterAutospacing="off"/>
        <w:jc w:val="both"/>
        <w:rPr>
          <w:rFonts w:ascii="Arial" w:hAnsi="Arial" w:eastAsia="Arial" w:cs="Arial"/>
          <w:b w:val="1"/>
          <w:bCs w:val="1"/>
          <w:i w:val="0"/>
          <w:iCs w:val="0"/>
          <w:noProof/>
          <w:color w:val="auto"/>
          <w:sz w:val="22"/>
          <w:szCs w:val="22"/>
          <w:lang w:val="en-US"/>
        </w:rPr>
      </w:pPr>
      <w:r w:rsidRPr="1F3CDA55" w:rsidR="6F2FDE13">
        <w:rPr>
          <w:rFonts w:ascii="Arial" w:hAnsi="Arial" w:eastAsia="Arial" w:cs="Arial"/>
          <w:b w:val="1"/>
          <w:bCs w:val="1"/>
          <w:i w:val="0"/>
          <w:iCs w:val="0"/>
          <w:noProof/>
          <w:color w:val="auto"/>
          <w:sz w:val="22"/>
          <w:szCs w:val="22"/>
          <w:lang w:val="en-US"/>
        </w:rPr>
        <w:t>1.4. Lisanssız Üretim Tesisleri Bakımından Durum</w:t>
      </w:r>
    </w:p>
    <w:p w:rsidR="36FC880A" w:rsidP="1F3CDA55" w:rsidRDefault="36FC880A" w14:paraId="07810C91" w14:textId="2B62706A">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Yukarıda belirtilen tesis türlerine ek olarak, çağrı mektubu almış ve ihtiyaç fazlası enerji için aylık mahsuplaşma uygulanan lisanssız elektrik üretim tesislerinde de elektrik depolama tesisi kurulabilmektedir.</w:t>
      </w:r>
    </w:p>
    <w:p w:rsidR="36FC880A" w:rsidP="1F3CDA55" w:rsidRDefault="36FC880A" w14:paraId="747EC999" w14:textId="6D2BEF8C">
      <w:pPr>
        <w:pStyle w:val="Balk3"/>
        <w:spacing w:before="281" w:beforeAutospacing="off" w:after="281" w:afterAutospacing="off"/>
        <w:jc w:val="both"/>
        <w:rPr>
          <w:rFonts w:ascii="Arial" w:hAnsi="Arial" w:eastAsia="Arial" w:cs="Arial"/>
          <w:b w:val="1"/>
          <w:bCs w:val="1"/>
          <w:i w:val="0"/>
          <w:iCs w:val="0"/>
          <w:noProof/>
          <w:color w:val="auto"/>
          <w:sz w:val="22"/>
          <w:szCs w:val="22"/>
          <w:lang w:val="en-US"/>
        </w:rPr>
      </w:pPr>
      <w:r w:rsidRPr="1F3CDA55" w:rsidR="6F2FDE13">
        <w:rPr>
          <w:rFonts w:ascii="Arial" w:hAnsi="Arial" w:eastAsia="Arial" w:cs="Arial"/>
          <w:b w:val="1"/>
          <w:bCs w:val="1"/>
          <w:i w:val="0"/>
          <w:iCs w:val="0"/>
          <w:noProof/>
          <w:color w:val="auto"/>
          <w:sz w:val="22"/>
          <w:szCs w:val="22"/>
          <w:lang w:val="en-US"/>
        </w:rPr>
        <w:t>2. Mevzuatta Depolama Faaliyetlerine İlişkin Diğer Hususlar</w:t>
      </w:r>
    </w:p>
    <w:p w:rsidR="36FC880A" w:rsidP="1F3CDA55" w:rsidRDefault="36FC880A" w14:paraId="19DB5C0D" w14:textId="76B0775B">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Yönetmelik kapsamında kurulacak depolama tesisleri, depolama faaliyetlerine ek olarak çeşitli avantajlar da sağlamaktadır. Bu kapsamda öne çıkan hususlar aşağıdaki gibidir:</w:t>
      </w:r>
    </w:p>
    <w:p w:rsidR="36FC880A" w:rsidP="1F3CDA55" w:rsidRDefault="36FC880A" w14:paraId="61533AB7" w14:textId="7115FBC1">
      <w:pPr>
        <w:pStyle w:val="ListeParagraf"/>
        <w:numPr>
          <w:ilvl w:val="0"/>
          <w:numId w:val="71"/>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Rüzgâr veya güneş enerjisine dayalı üretim tesisi ile bütünleşik depolama tesisleri YEKDEM kapsamına dâhil edilmekte olup, bu tesislere sahip lisanslı üreticiler YEKDEM desteklerinden yararlanabilmektedir. </w:t>
      </w:r>
    </w:p>
    <w:p w:rsidR="36FC880A" w:rsidP="1F3CDA55" w:rsidRDefault="36FC880A" w14:paraId="600C51DF" w14:textId="66F9BE38">
      <w:pPr>
        <w:pStyle w:val="ListeParagraf"/>
        <w:numPr>
          <w:ilvl w:val="0"/>
          <w:numId w:val="71"/>
        </w:numPr>
        <w:spacing w:before="0" w:beforeAutospacing="off" w:after="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 xml:space="preserve">Üretim tesisine bütünleşik depolama tesisleri ile müstakil depolama tesisleri, gerekli şartların sağlanması hâlinde yan hizmetler ve dengeleme güç piyasasına katılım sağlayabilmektedir. </w:t>
      </w:r>
    </w:p>
    <w:p w:rsidR="7AE2C74C" w:rsidP="1F3CDA55" w:rsidRDefault="7AE2C74C" w14:paraId="0AB013A3" w14:textId="14CD555E">
      <w:pPr>
        <w:jc w:val="both"/>
        <w:rPr>
          <w:rFonts w:ascii="Arial" w:hAnsi="Arial" w:eastAsia="Arial" w:cs="Arial"/>
          <w:i w:val="0"/>
          <w:iCs w:val="0"/>
          <w:color w:val="auto"/>
          <w:sz w:val="22"/>
          <w:szCs w:val="22"/>
        </w:rPr>
      </w:pPr>
    </w:p>
    <w:p w:rsidR="36FC880A" w:rsidP="1F3CDA55" w:rsidRDefault="36FC880A" w14:paraId="52B12223" w14:textId="7BB995BA">
      <w:pPr>
        <w:pStyle w:val="Balk3"/>
        <w:spacing w:before="281" w:beforeAutospacing="off" w:after="281" w:afterAutospacing="off"/>
        <w:jc w:val="both"/>
        <w:rPr>
          <w:rFonts w:ascii="Arial" w:hAnsi="Arial" w:eastAsia="Arial" w:cs="Arial"/>
          <w:b w:val="1"/>
          <w:bCs w:val="1"/>
          <w:i w:val="0"/>
          <w:iCs w:val="0"/>
          <w:noProof/>
          <w:color w:val="auto"/>
          <w:sz w:val="22"/>
          <w:szCs w:val="22"/>
          <w:lang w:val="en-US"/>
        </w:rPr>
      </w:pPr>
      <w:r w:rsidRPr="1F3CDA55" w:rsidR="6F2FDE13">
        <w:rPr>
          <w:rFonts w:ascii="Arial" w:hAnsi="Arial" w:eastAsia="Arial" w:cs="Arial"/>
          <w:b w:val="1"/>
          <w:bCs w:val="1"/>
          <w:i w:val="0"/>
          <w:iCs w:val="0"/>
          <w:noProof/>
          <w:color w:val="auto"/>
          <w:sz w:val="22"/>
          <w:szCs w:val="22"/>
          <w:lang w:val="en-US"/>
        </w:rPr>
        <w:t>Sonuç</w:t>
      </w:r>
    </w:p>
    <w:p w:rsidR="36FC880A" w:rsidP="1F3CDA55" w:rsidRDefault="36FC880A" w14:paraId="0F635ABE" w14:textId="54DFD19A">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Sonuç olarak, elektrik depolama teknolojilerine ilişkin mevzuat düzenlemeleri yalnızca teknik uyumun sağlanmasına hizmet etmemekte; aynı zamanda yatırım ortamının öngörülebilirliğini artırarak bu teknolojilerin enerji sektöründeki yerini güçlendirmektedir.</w:t>
      </w:r>
    </w:p>
    <w:p w:rsidR="36FC880A" w:rsidP="1F3CDA55" w:rsidRDefault="36FC880A" w14:paraId="1EC80489" w14:textId="30D7404D">
      <w:pPr>
        <w:spacing w:before="240" w:beforeAutospacing="off" w:after="240" w:afterAutospacing="off"/>
        <w:jc w:val="both"/>
        <w:rPr>
          <w:rFonts w:ascii="Arial" w:hAnsi="Arial" w:eastAsia="Arial" w:cs="Arial"/>
          <w:i w:val="0"/>
          <w:iCs w:val="0"/>
          <w:noProof/>
          <w:color w:val="auto"/>
          <w:sz w:val="22"/>
          <w:szCs w:val="22"/>
          <w:lang w:val="en-US"/>
        </w:rPr>
      </w:pPr>
      <w:r w:rsidRPr="1F3CDA55" w:rsidR="6F2FDE13">
        <w:rPr>
          <w:rFonts w:ascii="Arial" w:hAnsi="Arial" w:eastAsia="Arial" w:cs="Arial"/>
          <w:i w:val="0"/>
          <w:iCs w:val="0"/>
          <w:noProof/>
          <w:color w:val="auto"/>
          <w:sz w:val="22"/>
          <w:szCs w:val="22"/>
          <w:lang w:val="en-US"/>
        </w:rPr>
        <w:t>Bu doğrultuda, enerji hukukunun ve piyasa düzenlemelerinin depolama teknolojilerini sistematik ve bütüncül bir yaklaşımla ele alması, sürdürülebilir, esnek ve güvenilir bir enerji altyapısının tesis edilmesi bakımından kritik önem arz etmektedir.</w:t>
      </w:r>
    </w:p>
    <w:p w:rsidR="7AE2C74C" w:rsidP="1F3CDA55" w:rsidRDefault="7AE2C74C" w14:paraId="432DCB14" w14:textId="28EC247B">
      <w:pPr>
        <w:jc w:val="both"/>
        <w:rPr>
          <w:rFonts w:ascii="Arial" w:hAnsi="Arial" w:eastAsia="Arial" w:cs="Arial"/>
          <w:i w:val="0"/>
          <w:iCs w:val="0"/>
          <w:color w:val="auto"/>
          <w:sz w:val="22"/>
          <w:szCs w:val="22"/>
        </w:rPr>
      </w:pPr>
    </w:p>
    <w:sectPr w:rsidRPr="00D3199E" w:rsidR="0070285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0">
    <w:nsid w:val="22a1a2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4fc114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511cbe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7cff4d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583dae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6dca5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73418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6b6ae0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4c7187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190d53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391ef9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627bc5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672A48"/>
    <w:multiLevelType w:val="multilevel"/>
    <w:tmpl w:val="A80448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5007169"/>
    <w:multiLevelType w:val="multilevel"/>
    <w:tmpl w:val="456CCB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53E3B92"/>
    <w:multiLevelType w:val="multilevel"/>
    <w:tmpl w:val="11E278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5583A47"/>
    <w:multiLevelType w:val="hybridMultilevel"/>
    <w:tmpl w:val="EBC0B212"/>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4" w15:restartNumberingAfterBreak="0">
    <w:nsid w:val="093323EC"/>
    <w:multiLevelType w:val="multilevel"/>
    <w:tmpl w:val="7840D2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A5500E0"/>
    <w:multiLevelType w:val="multilevel"/>
    <w:tmpl w:val="921812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B160B78"/>
    <w:multiLevelType w:val="multilevel"/>
    <w:tmpl w:val="5A3C22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9D1A89"/>
    <w:multiLevelType w:val="multilevel"/>
    <w:tmpl w:val="48123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062353C"/>
    <w:multiLevelType w:val="multilevel"/>
    <w:tmpl w:val="18BC29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1895DF2"/>
    <w:multiLevelType w:val="multilevel"/>
    <w:tmpl w:val="9C9C81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30277DD"/>
    <w:multiLevelType w:val="multilevel"/>
    <w:tmpl w:val="6FD6F5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35B2B47"/>
    <w:multiLevelType w:val="multilevel"/>
    <w:tmpl w:val="1D7A32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3B12EC0"/>
    <w:multiLevelType w:val="multilevel"/>
    <w:tmpl w:val="4F54DB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5010C59"/>
    <w:multiLevelType w:val="multilevel"/>
    <w:tmpl w:val="A6EE6A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5B27CEC"/>
    <w:multiLevelType w:val="multilevel"/>
    <w:tmpl w:val="95AC74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3845AF"/>
    <w:multiLevelType w:val="multilevel"/>
    <w:tmpl w:val="009CCD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6362F8B"/>
    <w:multiLevelType w:val="multilevel"/>
    <w:tmpl w:val="41FAA4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942046B"/>
    <w:multiLevelType w:val="multilevel"/>
    <w:tmpl w:val="736C7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02420B"/>
    <w:multiLevelType w:val="multilevel"/>
    <w:tmpl w:val="B20856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E2F0095"/>
    <w:multiLevelType w:val="multilevel"/>
    <w:tmpl w:val="02D26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1EA1042"/>
    <w:multiLevelType w:val="multilevel"/>
    <w:tmpl w:val="EFE82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26A3E28"/>
    <w:multiLevelType w:val="multilevel"/>
    <w:tmpl w:val="85FA55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6564DFA"/>
    <w:multiLevelType w:val="multilevel"/>
    <w:tmpl w:val="7868B7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485DC6"/>
    <w:multiLevelType w:val="multilevel"/>
    <w:tmpl w:val="72327E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EAF7E18"/>
    <w:multiLevelType w:val="multilevel"/>
    <w:tmpl w:val="793464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F0D145E"/>
    <w:multiLevelType w:val="multilevel"/>
    <w:tmpl w:val="291A21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FD33B16"/>
    <w:multiLevelType w:val="multilevel"/>
    <w:tmpl w:val="FA3A3A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3E86D2F"/>
    <w:multiLevelType w:val="multilevel"/>
    <w:tmpl w:val="E2CA1F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53F3303"/>
    <w:multiLevelType w:val="multilevel"/>
    <w:tmpl w:val="6D9A2F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8965686"/>
    <w:multiLevelType w:val="multilevel"/>
    <w:tmpl w:val="58E270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8EC531D"/>
    <w:multiLevelType w:val="multilevel"/>
    <w:tmpl w:val="8BD85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9742BCB"/>
    <w:multiLevelType w:val="multilevel"/>
    <w:tmpl w:val="7D4E9D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6C47CF"/>
    <w:multiLevelType w:val="multilevel"/>
    <w:tmpl w:val="383826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A724DAD"/>
    <w:multiLevelType w:val="hybridMultilevel"/>
    <w:tmpl w:val="4C9C6602"/>
    <w:lvl w:ilvl="0" w:tplc="041F0001">
      <w:start w:val="1"/>
      <w:numFmt w:val="bullet"/>
      <w:lvlText w:val=""/>
      <w:lvlJc w:val="left"/>
      <w:pPr>
        <w:ind w:left="720" w:hanging="360"/>
      </w:pPr>
      <w:rPr>
        <w:rFonts w:hint="default" w:ascii="Symbol" w:hAnsi="Symbol"/>
      </w:rPr>
    </w:lvl>
    <w:lvl w:ilvl="1" w:tplc="041F0003">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34" w15:restartNumberingAfterBreak="0">
    <w:nsid w:val="4C18772A"/>
    <w:multiLevelType w:val="multilevel"/>
    <w:tmpl w:val="BB588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D741683"/>
    <w:multiLevelType w:val="multilevel"/>
    <w:tmpl w:val="BD3C28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4D910A4D"/>
    <w:multiLevelType w:val="multilevel"/>
    <w:tmpl w:val="C5B0A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4DC83A32"/>
    <w:multiLevelType w:val="multilevel"/>
    <w:tmpl w:val="A1C8E1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4ED46E09"/>
    <w:multiLevelType w:val="multilevel"/>
    <w:tmpl w:val="470272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0772111"/>
    <w:multiLevelType w:val="multilevel"/>
    <w:tmpl w:val="78A86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10C08F7"/>
    <w:multiLevelType w:val="multilevel"/>
    <w:tmpl w:val="594C1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1E33F6D"/>
    <w:multiLevelType w:val="multilevel"/>
    <w:tmpl w:val="F2FAE4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52A7917"/>
    <w:multiLevelType w:val="multilevel"/>
    <w:tmpl w:val="5BFA21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BE65544"/>
    <w:multiLevelType w:val="multilevel"/>
    <w:tmpl w:val="BFF837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5D445089"/>
    <w:multiLevelType w:val="multilevel"/>
    <w:tmpl w:val="A1A0FF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61165C1B"/>
    <w:multiLevelType w:val="multilevel"/>
    <w:tmpl w:val="826C0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3410317"/>
    <w:multiLevelType w:val="multilevel"/>
    <w:tmpl w:val="591638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3700206"/>
    <w:multiLevelType w:val="multilevel"/>
    <w:tmpl w:val="7ABE4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64FB302C"/>
    <w:multiLevelType w:val="multilevel"/>
    <w:tmpl w:val="900C98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6BCA6A73"/>
    <w:multiLevelType w:val="multilevel"/>
    <w:tmpl w:val="180033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704B31AE"/>
    <w:multiLevelType w:val="multilevel"/>
    <w:tmpl w:val="3552FA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71D704B9"/>
    <w:multiLevelType w:val="multilevel"/>
    <w:tmpl w:val="BB64A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3AF5340"/>
    <w:multiLevelType w:val="multilevel"/>
    <w:tmpl w:val="F1B674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76724A80"/>
    <w:multiLevelType w:val="multilevel"/>
    <w:tmpl w:val="A99AE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775B3BDC"/>
    <w:multiLevelType w:val="multilevel"/>
    <w:tmpl w:val="741CD1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7AAB396B"/>
    <w:multiLevelType w:val="multilevel"/>
    <w:tmpl w:val="D4A8B2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6" w15:restartNumberingAfterBreak="0">
    <w:nsid w:val="7BF2433F"/>
    <w:multiLevelType w:val="hybridMultilevel"/>
    <w:tmpl w:val="02027152"/>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57" w15:restartNumberingAfterBreak="0">
    <w:nsid w:val="7C7A2EE7"/>
    <w:multiLevelType w:val="multilevel"/>
    <w:tmpl w:val="0DDE7C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 w15:restartNumberingAfterBreak="0">
    <w:nsid w:val="7F522F5F"/>
    <w:multiLevelType w:val="multilevel"/>
    <w:tmpl w:val="11FC3D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1" w16cid:durableId="1774662564">
    <w:abstractNumId w:val="17"/>
  </w:num>
  <w:num w:numId="2" w16cid:durableId="1118258909">
    <w:abstractNumId w:val="40"/>
  </w:num>
  <w:num w:numId="3" w16cid:durableId="163866658">
    <w:abstractNumId w:val="31"/>
  </w:num>
  <w:num w:numId="4" w16cid:durableId="342783165">
    <w:abstractNumId w:val="22"/>
  </w:num>
  <w:num w:numId="5" w16cid:durableId="1576892517">
    <w:abstractNumId w:val="42"/>
  </w:num>
  <w:num w:numId="6" w16cid:durableId="1365793020">
    <w:abstractNumId w:val="6"/>
  </w:num>
  <w:num w:numId="7" w16cid:durableId="1709722453">
    <w:abstractNumId w:val="14"/>
  </w:num>
  <w:num w:numId="8" w16cid:durableId="934704477">
    <w:abstractNumId w:val="58"/>
  </w:num>
  <w:num w:numId="9" w16cid:durableId="1602032503">
    <w:abstractNumId w:val="20"/>
  </w:num>
  <w:num w:numId="10" w16cid:durableId="1792163715">
    <w:abstractNumId w:val="54"/>
  </w:num>
  <w:num w:numId="11" w16cid:durableId="1367288641">
    <w:abstractNumId w:val="32"/>
  </w:num>
  <w:num w:numId="12" w16cid:durableId="1417247359">
    <w:abstractNumId w:val="16"/>
  </w:num>
  <w:num w:numId="13" w16cid:durableId="1550653903">
    <w:abstractNumId w:val="19"/>
  </w:num>
  <w:num w:numId="14" w16cid:durableId="1389574307">
    <w:abstractNumId w:val="39"/>
  </w:num>
  <w:num w:numId="15" w16cid:durableId="483741876">
    <w:abstractNumId w:val="0"/>
  </w:num>
  <w:num w:numId="16" w16cid:durableId="577596812">
    <w:abstractNumId w:val="26"/>
  </w:num>
  <w:num w:numId="17" w16cid:durableId="11735987">
    <w:abstractNumId w:val="46"/>
  </w:num>
  <w:num w:numId="18" w16cid:durableId="1022821697">
    <w:abstractNumId w:val="44"/>
  </w:num>
  <w:num w:numId="19" w16cid:durableId="926231225">
    <w:abstractNumId w:val="29"/>
  </w:num>
  <w:num w:numId="20" w16cid:durableId="1325233302">
    <w:abstractNumId w:val="25"/>
  </w:num>
  <w:num w:numId="21" w16cid:durableId="271010512">
    <w:abstractNumId w:val="55"/>
  </w:num>
  <w:num w:numId="22" w16cid:durableId="2040429696">
    <w:abstractNumId w:val="48"/>
  </w:num>
  <w:num w:numId="23" w16cid:durableId="1419860587">
    <w:abstractNumId w:val="13"/>
  </w:num>
  <w:num w:numId="24" w16cid:durableId="1431656500">
    <w:abstractNumId w:val="5"/>
  </w:num>
  <w:num w:numId="25" w16cid:durableId="1260871914">
    <w:abstractNumId w:val="12"/>
  </w:num>
  <w:num w:numId="26" w16cid:durableId="1591424063">
    <w:abstractNumId w:val="21"/>
  </w:num>
  <w:num w:numId="27" w16cid:durableId="1369331442">
    <w:abstractNumId w:val="7"/>
  </w:num>
  <w:num w:numId="28" w16cid:durableId="640691868">
    <w:abstractNumId w:val="45"/>
  </w:num>
  <w:num w:numId="29" w16cid:durableId="1960186496">
    <w:abstractNumId w:val="36"/>
  </w:num>
  <w:num w:numId="30" w16cid:durableId="168062156">
    <w:abstractNumId w:val="52"/>
  </w:num>
  <w:num w:numId="31" w16cid:durableId="1881089918">
    <w:abstractNumId w:val="15"/>
  </w:num>
  <w:num w:numId="32" w16cid:durableId="1573851151">
    <w:abstractNumId w:val="24"/>
  </w:num>
  <w:num w:numId="33" w16cid:durableId="1603108505">
    <w:abstractNumId w:val="41"/>
  </w:num>
  <w:num w:numId="34" w16cid:durableId="185103712">
    <w:abstractNumId w:val="11"/>
  </w:num>
  <w:num w:numId="35" w16cid:durableId="846604516">
    <w:abstractNumId w:val="28"/>
  </w:num>
  <w:num w:numId="36" w16cid:durableId="868374996">
    <w:abstractNumId w:val="53"/>
  </w:num>
  <w:num w:numId="37" w16cid:durableId="1531261406">
    <w:abstractNumId w:val="49"/>
  </w:num>
  <w:num w:numId="38" w16cid:durableId="1240672632">
    <w:abstractNumId w:val="35"/>
  </w:num>
  <w:num w:numId="39" w16cid:durableId="238831597">
    <w:abstractNumId w:val="9"/>
  </w:num>
  <w:num w:numId="40" w16cid:durableId="1612978906">
    <w:abstractNumId w:val="1"/>
  </w:num>
  <w:num w:numId="41" w16cid:durableId="909119362">
    <w:abstractNumId w:val="38"/>
  </w:num>
  <w:num w:numId="42" w16cid:durableId="309209901">
    <w:abstractNumId w:val="18"/>
  </w:num>
  <w:num w:numId="43" w16cid:durableId="474762760">
    <w:abstractNumId w:val="4"/>
  </w:num>
  <w:num w:numId="44" w16cid:durableId="2090806676">
    <w:abstractNumId w:val="30"/>
  </w:num>
  <w:num w:numId="45" w16cid:durableId="1870676594">
    <w:abstractNumId w:val="33"/>
  </w:num>
  <w:num w:numId="46" w16cid:durableId="1494297228">
    <w:abstractNumId w:val="56"/>
  </w:num>
  <w:num w:numId="47" w16cid:durableId="1227912710">
    <w:abstractNumId w:val="3"/>
  </w:num>
  <w:num w:numId="48" w16cid:durableId="2071538201">
    <w:abstractNumId w:val="2"/>
  </w:num>
  <w:num w:numId="49" w16cid:durableId="889419752">
    <w:abstractNumId w:val="51"/>
  </w:num>
  <w:num w:numId="50" w16cid:durableId="1001658179">
    <w:abstractNumId w:val="37"/>
  </w:num>
  <w:num w:numId="51" w16cid:durableId="1201283953">
    <w:abstractNumId w:val="8"/>
  </w:num>
  <w:num w:numId="52" w16cid:durableId="1435631754">
    <w:abstractNumId w:val="43"/>
  </w:num>
  <w:num w:numId="53" w16cid:durableId="255939030">
    <w:abstractNumId w:val="47"/>
  </w:num>
  <w:num w:numId="54" w16cid:durableId="1973167241">
    <w:abstractNumId w:val="34"/>
  </w:num>
  <w:num w:numId="55" w16cid:durableId="545798065">
    <w:abstractNumId w:val="27"/>
  </w:num>
  <w:num w:numId="56" w16cid:durableId="1917475869">
    <w:abstractNumId w:val="23"/>
  </w:num>
  <w:num w:numId="57" w16cid:durableId="152717836">
    <w:abstractNumId w:val="10"/>
  </w:num>
  <w:num w:numId="58" w16cid:durableId="1075740353">
    <w:abstractNumId w:val="50"/>
  </w:num>
  <w:num w:numId="59" w16cid:durableId="2130851295">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8D1"/>
    <w:rsid w:val="000218D1"/>
    <w:rsid w:val="002F1091"/>
    <w:rsid w:val="00371403"/>
    <w:rsid w:val="00702855"/>
    <w:rsid w:val="009E612E"/>
    <w:rsid w:val="00A063BB"/>
    <w:rsid w:val="00A955FC"/>
    <w:rsid w:val="00C07255"/>
    <w:rsid w:val="00CB581B"/>
    <w:rsid w:val="00CB58E1"/>
    <w:rsid w:val="00D3199E"/>
    <w:rsid w:val="00F90678"/>
    <w:rsid w:val="00FC6C0A"/>
    <w:rsid w:val="02232A49"/>
    <w:rsid w:val="04F0D227"/>
    <w:rsid w:val="05D51968"/>
    <w:rsid w:val="072ADC24"/>
    <w:rsid w:val="0F8E7A71"/>
    <w:rsid w:val="0FB061E4"/>
    <w:rsid w:val="0FBDE244"/>
    <w:rsid w:val="117C6BC1"/>
    <w:rsid w:val="1A2F647C"/>
    <w:rsid w:val="1C176C9C"/>
    <w:rsid w:val="1F3BD873"/>
    <w:rsid w:val="1F3CDA55"/>
    <w:rsid w:val="207F9AE4"/>
    <w:rsid w:val="22C2FC68"/>
    <w:rsid w:val="22D0E3CC"/>
    <w:rsid w:val="25541962"/>
    <w:rsid w:val="28586D30"/>
    <w:rsid w:val="2A8C6E77"/>
    <w:rsid w:val="2D4E9C6B"/>
    <w:rsid w:val="2E3C6759"/>
    <w:rsid w:val="3502BC13"/>
    <w:rsid w:val="3574EC21"/>
    <w:rsid w:val="36FC880A"/>
    <w:rsid w:val="3B4E7F89"/>
    <w:rsid w:val="41B84D03"/>
    <w:rsid w:val="41B89B32"/>
    <w:rsid w:val="497D36A5"/>
    <w:rsid w:val="4C305157"/>
    <w:rsid w:val="4DA28D1F"/>
    <w:rsid w:val="4F347CD4"/>
    <w:rsid w:val="523D0F27"/>
    <w:rsid w:val="584FC948"/>
    <w:rsid w:val="59A4EE0E"/>
    <w:rsid w:val="5B869AED"/>
    <w:rsid w:val="5B981111"/>
    <w:rsid w:val="5C7F761A"/>
    <w:rsid w:val="5D63BFB6"/>
    <w:rsid w:val="5E5BE618"/>
    <w:rsid w:val="5E77959B"/>
    <w:rsid w:val="5FF7E813"/>
    <w:rsid w:val="60836E3E"/>
    <w:rsid w:val="641E7FA7"/>
    <w:rsid w:val="64A23F06"/>
    <w:rsid w:val="662CBB33"/>
    <w:rsid w:val="6BB5DEF4"/>
    <w:rsid w:val="6F0B3EA1"/>
    <w:rsid w:val="6F2FDE13"/>
    <w:rsid w:val="6F87D3AD"/>
    <w:rsid w:val="75B12681"/>
    <w:rsid w:val="78366FB8"/>
    <w:rsid w:val="78E23781"/>
    <w:rsid w:val="7AE2C74C"/>
    <w:rsid w:val="7E847A92"/>
    <w:rsid w:val="7F784F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14221"/>
  <w15:chartTrackingRefBased/>
  <w15:docId w15:val="{5E0C4500-173D-4BD5-8008-6C546DBF2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noProof/>
      <w:lang w:val="en-US"/>
    </w:rPr>
  </w:style>
  <w:style w:type="paragraph" w:styleId="Balk1">
    <w:name w:val="heading 1"/>
    <w:basedOn w:val="Normal"/>
    <w:next w:val="Normal"/>
    <w:link w:val="Balk1Char"/>
    <w:uiPriority w:val="9"/>
    <w:qFormat/>
    <w:rsid w:val="000218D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218D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218D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218D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218D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218D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218D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218D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218D1"/>
    <w:pPr>
      <w:keepNext/>
      <w:keepLines/>
      <w:spacing w:after="0"/>
      <w:outlineLvl w:val="8"/>
    </w:pPr>
    <w:rPr>
      <w:rFonts w:eastAsiaTheme="majorEastAsia" w:cstheme="majorBidi"/>
      <w:color w:val="272727" w:themeColor="text1" w:themeTint="D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Balk1Char" w:customStyle="1">
    <w:name w:val="Başlık 1 Char"/>
    <w:basedOn w:val="VarsaylanParagrafYazTipi"/>
    <w:link w:val="Balk1"/>
    <w:uiPriority w:val="9"/>
    <w:rsid w:val="000218D1"/>
    <w:rPr>
      <w:rFonts w:asciiTheme="majorHAnsi" w:hAnsiTheme="majorHAnsi" w:eastAsiaTheme="majorEastAsia" w:cstheme="majorBidi"/>
      <w:noProof/>
      <w:color w:val="0F4761" w:themeColor="accent1" w:themeShade="BF"/>
      <w:sz w:val="40"/>
      <w:szCs w:val="40"/>
      <w:lang w:val="en-US"/>
    </w:rPr>
  </w:style>
  <w:style w:type="character" w:styleId="Balk2Char" w:customStyle="1">
    <w:name w:val="Başlık 2 Char"/>
    <w:basedOn w:val="VarsaylanParagrafYazTipi"/>
    <w:link w:val="Balk2"/>
    <w:uiPriority w:val="9"/>
    <w:semiHidden/>
    <w:rsid w:val="000218D1"/>
    <w:rPr>
      <w:rFonts w:asciiTheme="majorHAnsi" w:hAnsiTheme="majorHAnsi" w:eastAsiaTheme="majorEastAsia" w:cstheme="majorBidi"/>
      <w:noProof/>
      <w:color w:val="0F4761" w:themeColor="accent1" w:themeShade="BF"/>
      <w:sz w:val="32"/>
      <w:szCs w:val="32"/>
      <w:lang w:val="en-US"/>
    </w:rPr>
  </w:style>
  <w:style w:type="character" w:styleId="Balk3Char" w:customStyle="1">
    <w:name w:val="Başlık 3 Char"/>
    <w:basedOn w:val="VarsaylanParagrafYazTipi"/>
    <w:link w:val="Balk3"/>
    <w:uiPriority w:val="9"/>
    <w:semiHidden/>
    <w:rsid w:val="000218D1"/>
    <w:rPr>
      <w:rFonts w:eastAsiaTheme="majorEastAsia" w:cstheme="majorBidi"/>
      <w:noProof/>
      <w:color w:val="0F4761" w:themeColor="accent1" w:themeShade="BF"/>
      <w:sz w:val="28"/>
      <w:szCs w:val="28"/>
      <w:lang w:val="en-US"/>
    </w:rPr>
  </w:style>
  <w:style w:type="character" w:styleId="Balk4Char" w:customStyle="1">
    <w:name w:val="Başlık 4 Char"/>
    <w:basedOn w:val="VarsaylanParagrafYazTipi"/>
    <w:link w:val="Balk4"/>
    <w:uiPriority w:val="9"/>
    <w:semiHidden/>
    <w:rsid w:val="000218D1"/>
    <w:rPr>
      <w:rFonts w:eastAsiaTheme="majorEastAsia" w:cstheme="majorBidi"/>
      <w:i/>
      <w:iCs/>
      <w:noProof/>
      <w:color w:val="0F4761" w:themeColor="accent1" w:themeShade="BF"/>
      <w:lang w:val="en-US"/>
    </w:rPr>
  </w:style>
  <w:style w:type="character" w:styleId="Balk5Char" w:customStyle="1">
    <w:name w:val="Başlık 5 Char"/>
    <w:basedOn w:val="VarsaylanParagrafYazTipi"/>
    <w:link w:val="Balk5"/>
    <w:uiPriority w:val="9"/>
    <w:semiHidden/>
    <w:rsid w:val="000218D1"/>
    <w:rPr>
      <w:rFonts w:eastAsiaTheme="majorEastAsia" w:cstheme="majorBidi"/>
      <w:noProof/>
      <w:color w:val="0F4761" w:themeColor="accent1" w:themeShade="BF"/>
      <w:lang w:val="en-US"/>
    </w:rPr>
  </w:style>
  <w:style w:type="character" w:styleId="Balk6Char" w:customStyle="1">
    <w:name w:val="Başlık 6 Char"/>
    <w:basedOn w:val="VarsaylanParagrafYazTipi"/>
    <w:link w:val="Balk6"/>
    <w:uiPriority w:val="9"/>
    <w:semiHidden/>
    <w:rsid w:val="000218D1"/>
    <w:rPr>
      <w:rFonts w:eastAsiaTheme="majorEastAsia" w:cstheme="majorBidi"/>
      <w:i/>
      <w:iCs/>
      <w:noProof/>
      <w:color w:val="595959" w:themeColor="text1" w:themeTint="A6"/>
      <w:lang w:val="en-US"/>
    </w:rPr>
  </w:style>
  <w:style w:type="character" w:styleId="Balk7Char" w:customStyle="1">
    <w:name w:val="Başlık 7 Char"/>
    <w:basedOn w:val="VarsaylanParagrafYazTipi"/>
    <w:link w:val="Balk7"/>
    <w:uiPriority w:val="9"/>
    <w:semiHidden/>
    <w:rsid w:val="000218D1"/>
    <w:rPr>
      <w:rFonts w:eastAsiaTheme="majorEastAsia" w:cstheme="majorBidi"/>
      <w:noProof/>
      <w:color w:val="595959" w:themeColor="text1" w:themeTint="A6"/>
      <w:lang w:val="en-US"/>
    </w:rPr>
  </w:style>
  <w:style w:type="character" w:styleId="Balk8Char" w:customStyle="1">
    <w:name w:val="Başlık 8 Char"/>
    <w:basedOn w:val="VarsaylanParagrafYazTipi"/>
    <w:link w:val="Balk8"/>
    <w:uiPriority w:val="9"/>
    <w:semiHidden/>
    <w:rsid w:val="000218D1"/>
    <w:rPr>
      <w:rFonts w:eastAsiaTheme="majorEastAsia" w:cstheme="majorBidi"/>
      <w:i/>
      <w:iCs/>
      <w:noProof/>
      <w:color w:val="272727" w:themeColor="text1" w:themeTint="D8"/>
      <w:lang w:val="en-US"/>
    </w:rPr>
  </w:style>
  <w:style w:type="character" w:styleId="Balk9Char" w:customStyle="1">
    <w:name w:val="Başlık 9 Char"/>
    <w:basedOn w:val="VarsaylanParagrafYazTipi"/>
    <w:link w:val="Balk9"/>
    <w:uiPriority w:val="9"/>
    <w:semiHidden/>
    <w:rsid w:val="000218D1"/>
    <w:rPr>
      <w:rFonts w:eastAsiaTheme="majorEastAsia" w:cstheme="majorBidi"/>
      <w:noProof/>
      <w:color w:val="272727" w:themeColor="text1" w:themeTint="D8"/>
      <w:lang w:val="en-US"/>
    </w:rPr>
  </w:style>
  <w:style w:type="paragraph" w:styleId="KonuBal">
    <w:name w:val="Title"/>
    <w:basedOn w:val="Normal"/>
    <w:next w:val="Normal"/>
    <w:link w:val="KonuBalChar"/>
    <w:uiPriority w:val="10"/>
    <w:qFormat/>
    <w:rsid w:val="000218D1"/>
    <w:pPr>
      <w:spacing w:after="80" w:line="240" w:lineRule="auto"/>
      <w:contextualSpacing/>
    </w:pPr>
    <w:rPr>
      <w:rFonts w:asciiTheme="majorHAnsi" w:hAnsiTheme="majorHAnsi" w:eastAsiaTheme="majorEastAsia" w:cstheme="majorBidi"/>
      <w:spacing w:val="-10"/>
      <w:kern w:val="28"/>
      <w:sz w:val="56"/>
      <w:szCs w:val="56"/>
    </w:rPr>
  </w:style>
  <w:style w:type="character" w:styleId="KonuBalChar" w:customStyle="1">
    <w:name w:val="Konu Başlığı Char"/>
    <w:basedOn w:val="VarsaylanParagrafYazTipi"/>
    <w:link w:val="KonuBal"/>
    <w:uiPriority w:val="10"/>
    <w:rsid w:val="000218D1"/>
    <w:rPr>
      <w:rFonts w:asciiTheme="majorHAnsi" w:hAnsiTheme="majorHAnsi" w:eastAsiaTheme="majorEastAsia" w:cstheme="majorBidi"/>
      <w:noProof/>
      <w:spacing w:val="-10"/>
      <w:kern w:val="28"/>
      <w:sz w:val="56"/>
      <w:szCs w:val="56"/>
      <w:lang w:val="en-US"/>
    </w:rPr>
  </w:style>
  <w:style w:type="paragraph" w:styleId="Altyaz">
    <w:name w:val="Subtitle"/>
    <w:basedOn w:val="Normal"/>
    <w:next w:val="Normal"/>
    <w:link w:val="AltyazChar"/>
    <w:uiPriority w:val="11"/>
    <w:qFormat/>
    <w:rsid w:val="000218D1"/>
    <w:pPr>
      <w:numPr>
        <w:ilvl w:val="1"/>
      </w:numPr>
    </w:pPr>
    <w:rPr>
      <w:rFonts w:eastAsiaTheme="majorEastAsia" w:cstheme="majorBidi"/>
      <w:color w:val="595959" w:themeColor="text1" w:themeTint="A6"/>
      <w:spacing w:val="15"/>
      <w:sz w:val="28"/>
      <w:szCs w:val="28"/>
    </w:rPr>
  </w:style>
  <w:style w:type="character" w:styleId="AltyazChar" w:customStyle="1">
    <w:name w:val="Altyazı Char"/>
    <w:basedOn w:val="VarsaylanParagrafYazTipi"/>
    <w:link w:val="Altyaz"/>
    <w:uiPriority w:val="11"/>
    <w:rsid w:val="000218D1"/>
    <w:rPr>
      <w:rFonts w:eastAsiaTheme="majorEastAsia" w:cstheme="majorBidi"/>
      <w:noProof/>
      <w:color w:val="595959" w:themeColor="text1" w:themeTint="A6"/>
      <w:spacing w:val="15"/>
      <w:sz w:val="28"/>
      <w:szCs w:val="28"/>
      <w:lang w:val="en-US"/>
    </w:rPr>
  </w:style>
  <w:style w:type="paragraph" w:styleId="Alnt">
    <w:name w:val="Quote"/>
    <w:basedOn w:val="Normal"/>
    <w:next w:val="Normal"/>
    <w:link w:val="AlntChar"/>
    <w:uiPriority w:val="29"/>
    <w:qFormat/>
    <w:rsid w:val="000218D1"/>
    <w:pPr>
      <w:spacing w:before="160"/>
      <w:jc w:val="center"/>
    </w:pPr>
    <w:rPr>
      <w:i/>
      <w:iCs/>
      <w:color w:val="404040" w:themeColor="text1" w:themeTint="BF"/>
    </w:rPr>
  </w:style>
  <w:style w:type="character" w:styleId="AlntChar" w:customStyle="1">
    <w:name w:val="Alıntı Char"/>
    <w:basedOn w:val="VarsaylanParagrafYazTipi"/>
    <w:link w:val="Alnt"/>
    <w:uiPriority w:val="29"/>
    <w:rsid w:val="000218D1"/>
    <w:rPr>
      <w:i/>
      <w:iCs/>
      <w:noProof/>
      <w:color w:val="404040" w:themeColor="text1" w:themeTint="BF"/>
      <w:lang w:val="en-US"/>
    </w:rPr>
  </w:style>
  <w:style w:type="paragraph" w:styleId="ListeParagraf">
    <w:name w:val="List Paragraph"/>
    <w:basedOn w:val="Normal"/>
    <w:uiPriority w:val="34"/>
    <w:qFormat/>
    <w:rsid w:val="000218D1"/>
    <w:pPr>
      <w:ind w:left="720"/>
      <w:contextualSpacing/>
    </w:pPr>
  </w:style>
  <w:style w:type="character" w:styleId="GlVurgulama">
    <w:name w:val="Intense Emphasis"/>
    <w:basedOn w:val="VarsaylanParagrafYazTipi"/>
    <w:uiPriority w:val="21"/>
    <w:qFormat/>
    <w:rsid w:val="000218D1"/>
    <w:rPr>
      <w:i/>
      <w:iCs/>
      <w:color w:val="0F4761" w:themeColor="accent1" w:themeShade="BF"/>
    </w:rPr>
  </w:style>
  <w:style w:type="paragraph" w:styleId="GlAlnt">
    <w:name w:val="Intense Quote"/>
    <w:basedOn w:val="Normal"/>
    <w:next w:val="Normal"/>
    <w:link w:val="GlAlntChar"/>
    <w:uiPriority w:val="30"/>
    <w:qFormat/>
    <w:rsid w:val="000218D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GlAlntChar" w:customStyle="1">
    <w:name w:val="Güçlü Alıntı Char"/>
    <w:basedOn w:val="VarsaylanParagrafYazTipi"/>
    <w:link w:val="GlAlnt"/>
    <w:uiPriority w:val="30"/>
    <w:rsid w:val="000218D1"/>
    <w:rPr>
      <w:i/>
      <w:iCs/>
      <w:noProof/>
      <w:color w:val="0F4761" w:themeColor="accent1" w:themeShade="BF"/>
      <w:lang w:val="en-US"/>
    </w:rPr>
  </w:style>
  <w:style w:type="character" w:styleId="GlBavuru">
    <w:name w:val="Intense Reference"/>
    <w:basedOn w:val="VarsaylanParagrafYazTipi"/>
    <w:uiPriority w:val="32"/>
    <w:qFormat/>
    <w:rsid w:val="000218D1"/>
    <w:rPr>
      <w:b/>
      <w:bCs/>
      <w:smallCaps/>
      <w:color w:val="0F4761" w:themeColor="accent1" w:themeShade="BF"/>
      <w:spacing w:val="5"/>
    </w:rPr>
  </w:style>
  <w:style w:type="paragraph" w:styleId="paragraph" w:customStyle="1">
    <w:name w:val="paragraph"/>
    <w:basedOn w:val="Normal"/>
    <w:rsid w:val="00CB581B"/>
    <w:pPr>
      <w:spacing w:before="100" w:beforeAutospacing="1" w:after="100" w:afterAutospacing="1" w:line="240" w:lineRule="auto"/>
    </w:pPr>
    <w:rPr>
      <w:rFonts w:ascii="Times New Roman" w:hAnsi="Times New Roman" w:eastAsia="Times New Roman" w:cs="Times New Roman"/>
      <w:noProof w:val="0"/>
      <w:kern w:val="0"/>
      <w:sz w:val="24"/>
      <w:szCs w:val="24"/>
      <w:lang w:val="tr-TR" w:eastAsia="tr-TR"/>
      <w14:ligatures w14:val="none"/>
    </w:rPr>
  </w:style>
  <w:style w:type="character" w:styleId="normaltextrun" w:customStyle="1">
    <w:name w:val="normaltextrun"/>
    <w:basedOn w:val="VarsaylanParagrafYazTipi"/>
    <w:rsid w:val="00CB581B"/>
  </w:style>
  <w:style w:type="character" w:styleId="eop" w:customStyle="1">
    <w:name w:val="eop"/>
    <w:basedOn w:val="VarsaylanParagrafYazTipi"/>
    <w:rsid w:val="00CB5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760540-A921-4509-825E-E3A8A3541A48}">
  <ds:schemaRefs>
    <ds:schemaRef ds:uri="http://schemas.microsoft.com/office/2006/metadata/properties"/>
    <ds:schemaRef ds:uri="http://schemas.microsoft.com/office/infopath/2007/PartnerControls"/>
    <ds:schemaRef ds:uri="008e3b87-2b6f-4754-91c5-38b6e71c06dc"/>
    <ds:schemaRef ds:uri="a40ce3ce-1b1e-4805-af8a-69f5481a4fc0"/>
  </ds:schemaRefs>
</ds:datastoreItem>
</file>

<file path=customXml/itemProps2.xml><?xml version="1.0" encoding="utf-8"?>
<ds:datastoreItem xmlns:ds="http://schemas.openxmlformats.org/officeDocument/2006/customXml" ds:itemID="{EC5F760F-E1B4-4AFE-8BDF-6557A990A184}">
  <ds:schemaRefs>
    <ds:schemaRef ds:uri="http://schemas.microsoft.com/sharepoint/v3/contenttype/forms"/>
  </ds:schemaRefs>
</ds:datastoreItem>
</file>

<file path=customXml/itemProps3.xml><?xml version="1.0" encoding="utf-8"?>
<ds:datastoreItem xmlns:ds="http://schemas.openxmlformats.org/officeDocument/2006/customXml" ds:itemID="{3B67BC90-5925-45E8-85B1-B422BFEE4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e3b87-2b6f-4754-91c5-38b6e71c06dc"/>
    <ds:schemaRef ds:uri="a40ce3ce-1b1e-4805-af8a-69f5481a4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EGE</dc:creator>
  <keywords/>
  <dc:description/>
  <lastModifiedBy>Ezgi  Oprukçu</lastModifiedBy>
  <revision>7</revision>
  <dcterms:created xsi:type="dcterms:W3CDTF">2026-04-17T12:24:00.0000000Z</dcterms:created>
  <dcterms:modified xsi:type="dcterms:W3CDTF">2026-05-08T13:14:17.7831516Z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