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0DFAC" w14:textId="20FB7022" w:rsidR="00FC4ACA" w:rsidRDefault="006060EE" w:rsidP="006060EE">
      <w:pPr>
        <w:ind w:left="1440" w:hanging="720"/>
        <w:jc w:val="right"/>
        <w:rPr>
          <w:rFonts w:ascii="Times New Roman" w:hAnsi="Times New Roman" w:cs="Times New Roman"/>
          <w:b/>
          <w:bCs/>
          <w:sz w:val="22"/>
          <w:szCs w:val="22"/>
        </w:rPr>
      </w:pPr>
      <w:r w:rsidRPr="006060EE">
        <w:rPr>
          <w:rFonts w:ascii="Times New Roman" w:hAnsi="Times New Roman" w:cs="Times New Roman"/>
          <w:b/>
          <w:bCs/>
          <w:sz w:val="22"/>
          <w:szCs w:val="22"/>
        </w:rPr>
        <w:t>EYLÜL 2025 - ARALIK 2025</w:t>
      </w:r>
    </w:p>
    <w:p w14:paraId="03BFEF53" w14:textId="77777777" w:rsidR="006060EE" w:rsidRPr="006060EE" w:rsidRDefault="006060EE" w:rsidP="006060EE">
      <w:pPr>
        <w:ind w:left="1440" w:hanging="720"/>
        <w:jc w:val="right"/>
        <w:rPr>
          <w:rFonts w:ascii="Times New Roman" w:hAnsi="Times New Roman" w:cs="Times New Roman"/>
          <w:b/>
          <w:bCs/>
          <w:sz w:val="22"/>
          <w:szCs w:val="22"/>
        </w:rPr>
      </w:pPr>
    </w:p>
    <w:p w14:paraId="7E30B05C" w14:textId="31CE2F63" w:rsidR="0017403F" w:rsidRPr="00FC4ACA" w:rsidRDefault="0017403F" w:rsidP="009204C5">
      <w:pPr>
        <w:numPr>
          <w:ilvl w:val="0"/>
          <w:numId w:val="2"/>
        </w:numPr>
        <w:jc w:val="center"/>
        <w:rPr>
          <w:rFonts w:ascii="Times New Roman" w:hAnsi="Times New Roman" w:cs="Times New Roman"/>
          <w:b/>
          <w:bCs/>
          <w:sz w:val="22"/>
          <w:szCs w:val="22"/>
        </w:rPr>
      </w:pPr>
      <w:r w:rsidRPr="00FC4ACA">
        <w:rPr>
          <w:rFonts w:ascii="Times New Roman" w:hAnsi="Times New Roman" w:cs="Times New Roman"/>
          <w:b/>
          <w:bCs/>
          <w:sz w:val="22"/>
          <w:szCs w:val="22"/>
        </w:rPr>
        <w:t>VERGİ HUKUNUN TEMELLERİ VE UYGULAMA YAKLAŞIMI</w:t>
      </w:r>
    </w:p>
    <w:p w14:paraId="2CEAA22C" w14:textId="77777777" w:rsidR="0017403F" w:rsidRDefault="0017403F" w:rsidP="009204C5">
      <w:pPr>
        <w:jc w:val="both"/>
        <w:rPr>
          <w:rFonts w:ascii="Times New Roman" w:hAnsi="Times New Roman" w:cs="Times New Roman"/>
          <w:sz w:val="22"/>
          <w:szCs w:val="22"/>
        </w:rPr>
      </w:pPr>
    </w:p>
    <w:p w14:paraId="5A29F3E8" w14:textId="66ECC428" w:rsidR="00964351" w:rsidRPr="00964351" w:rsidRDefault="00964351" w:rsidP="00964351">
      <w:pPr>
        <w:jc w:val="right"/>
        <w:rPr>
          <w:rFonts w:ascii="Times New Roman" w:hAnsi="Times New Roman" w:cs="Times New Roman"/>
          <w:b/>
          <w:bCs/>
          <w:sz w:val="22"/>
          <w:szCs w:val="22"/>
        </w:rPr>
      </w:pPr>
      <w:r w:rsidRPr="00964351">
        <w:rPr>
          <w:rFonts w:ascii="Times New Roman" w:hAnsi="Times New Roman" w:cs="Times New Roman"/>
          <w:b/>
          <w:bCs/>
          <w:sz w:val="22"/>
          <w:szCs w:val="22"/>
        </w:rPr>
        <w:t>EYLÜL 2025</w:t>
      </w:r>
    </w:p>
    <w:p w14:paraId="405C496D" w14:textId="77777777" w:rsidR="0017403F" w:rsidRPr="00FC4ACA" w:rsidRDefault="0017403F" w:rsidP="009204C5">
      <w:pPr>
        <w:numPr>
          <w:ilvl w:val="0"/>
          <w:numId w:val="1"/>
        </w:numPr>
        <w:jc w:val="both"/>
        <w:rPr>
          <w:rFonts w:ascii="Times New Roman" w:hAnsi="Times New Roman" w:cs="Times New Roman"/>
          <w:sz w:val="22"/>
          <w:szCs w:val="22"/>
        </w:rPr>
      </w:pPr>
      <w:r w:rsidRPr="00FC4ACA">
        <w:rPr>
          <w:rFonts w:ascii="Times New Roman" w:hAnsi="Times New Roman" w:cs="Times New Roman"/>
          <w:b/>
          <w:bCs/>
          <w:sz w:val="22"/>
          <w:szCs w:val="22"/>
        </w:rPr>
        <w:t>VERGİ HUKUKUKUNUN TEMEL İLKELERİ</w:t>
      </w:r>
    </w:p>
    <w:p w14:paraId="6AE6A00A" w14:textId="77777777" w:rsidR="0017403F" w:rsidRPr="00FC4ACA" w:rsidRDefault="0017403F" w:rsidP="009204C5">
      <w:pPr>
        <w:jc w:val="both"/>
        <w:rPr>
          <w:rFonts w:ascii="Times New Roman" w:hAnsi="Times New Roman" w:cs="Times New Roman"/>
          <w:sz w:val="22"/>
          <w:szCs w:val="22"/>
        </w:rPr>
      </w:pPr>
    </w:p>
    <w:p w14:paraId="2C96883C"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b/>
          <w:bCs/>
          <w:sz w:val="22"/>
          <w:szCs w:val="22"/>
        </w:rPr>
        <w:t>Kanunilik İlkesi</w:t>
      </w:r>
    </w:p>
    <w:p w14:paraId="25F52F27"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Vergi yükümlülükleri yasalarla düzenlenir.</w:t>
      </w:r>
    </w:p>
    <w:p w14:paraId="4A1EBE57"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Oran, kapsam veya muafiyet gibi konular yasal çerçevede şekillenir.</w:t>
      </w:r>
    </w:p>
    <w:p w14:paraId="1878DAE9"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Bu yaklaşım, vergilendirme sürecinin hem mükellefler hem de uygulayıcı kurumlar açısından öngörülebilir bir zeminde ilerlemesine katkı sağlar.</w:t>
      </w:r>
    </w:p>
    <w:p w14:paraId="6F72E52C" w14:textId="77777777" w:rsidR="0017403F" w:rsidRPr="00FC4ACA" w:rsidRDefault="0017403F" w:rsidP="009204C5">
      <w:pPr>
        <w:jc w:val="both"/>
        <w:rPr>
          <w:rFonts w:ascii="Times New Roman" w:hAnsi="Times New Roman" w:cs="Times New Roman"/>
          <w:sz w:val="22"/>
          <w:szCs w:val="22"/>
        </w:rPr>
      </w:pPr>
    </w:p>
    <w:p w14:paraId="25CEC298"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b/>
          <w:bCs/>
          <w:sz w:val="22"/>
          <w:szCs w:val="22"/>
        </w:rPr>
        <w:t>Genellik İlkesi</w:t>
      </w:r>
    </w:p>
    <w:p w14:paraId="080C1392"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Vergi yükümlülüğü toplumun farklı kesimlerine yayılır.</w:t>
      </w:r>
    </w:p>
    <w:p w14:paraId="52576D0E"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Amaç, kamu hizmetlerinin finansmanına herkesin katkı sağlamasıdır.</w:t>
      </w:r>
    </w:p>
    <w:p w14:paraId="7EFF8195"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Bu katkı, bireylerin ödeme güçleri oranında yükümlülük taşımaları ile uyumlu şekilde gerçekleşir.</w:t>
      </w:r>
    </w:p>
    <w:p w14:paraId="2B1B269E"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 xml:space="preserve">Böylece vergi </w:t>
      </w:r>
      <w:proofErr w:type="gramStart"/>
      <w:r w:rsidRPr="00FC4ACA">
        <w:rPr>
          <w:rFonts w:ascii="Times New Roman" w:hAnsi="Times New Roman" w:cs="Times New Roman"/>
          <w:sz w:val="22"/>
          <w:szCs w:val="22"/>
        </w:rPr>
        <w:t>sistemi,</w:t>
      </w:r>
      <w:proofErr w:type="gramEnd"/>
      <w:r w:rsidRPr="00FC4ACA">
        <w:rPr>
          <w:rFonts w:ascii="Times New Roman" w:hAnsi="Times New Roman" w:cs="Times New Roman"/>
          <w:sz w:val="22"/>
          <w:szCs w:val="22"/>
        </w:rPr>
        <w:t xml:space="preserve"> hem kapsayıcı hem de adil bir çerçeve sunar.</w:t>
      </w:r>
    </w:p>
    <w:p w14:paraId="4BA54E0B" w14:textId="77777777" w:rsidR="0017403F" w:rsidRPr="00FC4ACA" w:rsidRDefault="0017403F" w:rsidP="009204C5">
      <w:pPr>
        <w:jc w:val="both"/>
        <w:rPr>
          <w:rFonts w:ascii="Times New Roman" w:hAnsi="Times New Roman" w:cs="Times New Roman"/>
          <w:sz w:val="22"/>
          <w:szCs w:val="22"/>
        </w:rPr>
      </w:pPr>
    </w:p>
    <w:p w14:paraId="1FAFE340"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b/>
          <w:bCs/>
          <w:sz w:val="22"/>
          <w:szCs w:val="22"/>
        </w:rPr>
        <w:t>Mali Güce Göre Vergilendirme</w:t>
      </w:r>
    </w:p>
    <w:p w14:paraId="39ADCD44"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Vergi yükünün bireylerin ekonomik gücüyle orantılı olması temel bir yaklaşımdır.</w:t>
      </w:r>
    </w:p>
    <w:p w14:paraId="5BA87A53"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Geliri yüksek olan kişiler daha fazla, düşük olan kişiler daha az katkı yapar.</w:t>
      </w:r>
    </w:p>
    <w:p w14:paraId="6969AD13"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Bu yöntem, sosyal devlet anlayışını destekler ve gelir dağılımındaki dengesizlikleri azaltır.</w:t>
      </w:r>
    </w:p>
    <w:p w14:paraId="16219376" w14:textId="77777777" w:rsidR="0017403F" w:rsidRPr="00FC4ACA" w:rsidRDefault="0017403F" w:rsidP="009204C5">
      <w:pPr>
        <w:jc w:val="both"/>
        <w:rPr>
          <w:rFonts w:ascii="Times New Roman" w:hAnsi="Times New Roman" w:cs="Times New Roman"/>
          <w:sz w:val="22"/>
          <w:szCs w:val="22"/>
        </w:rPr>
      </w:pPr>
    </w:p>
    <w:p w14:paraId="2122DC60"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b/>
          <w:bCs/>
          <w:sz w:val="22"/>
          <w:szCs w:val="22"/>
        </w:rPr>
        <w:t>Belirlilik İlkesi</w:t>
      </w:r>
    </w:p>
    <w:p w14:paraId="516D25CB"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Vergiyle ilgili kuralların açık ve anlaşılır şekilde düzenlenmesi önem taşır.</w:t>
      </w:r>
    </w:p>
    <w:p w14:paraId="634FAB32"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Mükellef, hangi koşullarda ne kadar ödeme yapacağını önceden bilir.</w:t>
      </w:r>
    </w:p>
    <w:p w14:paraId="02677DD3"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Bu, planlama yapmayı kolaylaştırır ve mali güvenlik sağlar.</w:t>
      </w:r>
    </w:p>
    <w:p w14:paraId="5752C744" w14:textId="77777777" w:rsidR="0017403F" w:rsidRPr="00FC4ACA" w:rsidRDefault="0017403F" w:rsidP="009204C5">
      <w:pPr>
        <w:jc w:val="both"/>
        <w:rPr>
          <w:rFonts w:ascii="Times New Roman" w:hAnsi="Times New Roman" w:cs="Times New Roman"/>
          <w:sz w:val="22"/>
          <w:szCs w:val="22"/>
        </w:rPr>
      </w:pPr>
    </w:p>
    <w:p w14:paraId="1DB35DB7"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b/>
          <w:bCs/>
          <w:sz w:val="22"/>
          <w:szCs w:val="22"/>
        </w:rPr>
        <w:t>Adalet İlkesi</w:t>
      </w:r>
    </w:p>
    <w:p w14:paraId="051EF014"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Vergi hukukunda adalet, sistemin en temel dayanaklarından biridir.</w:t>
      </w:r>
    </w:p>
    <w:p w14:paraId="0EECE465"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lastRenderedPageBreak/>
        <w:t>Bu ilke, vergi yükünün toplumda dengeli şekilde dağılmasını ve herkesin ödeme gücüne uygun katkıda bulunmasını ifade eder.</w:t>
      </w:r>
    </w:p>
    <w:p w14:paraId="3102A1DA"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Adalet gözetildiğinde vergi sistemi daha sürdürülebilir olur ve toplumsal güveni destekler.</w:t>
      </w:r>
    </w:p>
    <w:p w14:paraId="4D07F3A6" w14:textId="77777777" w:rsidR="0017403F" w:rsidRPr="00FC4ACA" w:rsidRDefault="0017403F" w:rsidP="009204C5">
      <w:pPr>
        <w:jc w:val="both"/>
        <w:rPr>
          <w:rFonts w:ascii="Times New Roman" w:hAnsi="Times New Roman" w:cs="Times New Roman"/>
          <w:sz w:val="22"/>
          <w:szCs w:val="22"/>
        </w:rPr>
      </w:pPr>
    </w:p>
    <w:p w14:paraId="451AFDC6"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Vergi hukukunun temel ilkeleri, adil, öngörülebilir ve hukuka uygun bir vergi sisteminin temelini oluşturur. Bu ilkeler hem devletin gelir ihtiyacını karşılar hem de mükelleflerin haklarını korur.</w:t>
      </w:r>
    </w:p>
    <w:p w14:paraId="37865FEF" w14:textId="77777777" w:rsidR="0017403F" w:rsidRPr="00FC4ACA" w:rsidRDefault="0017403F" w:rsidP="009204C5">
      <w:pPr>
        <w:jc w:val="both"/>
        <w:rPr>
          <w:rFonts w:ascii="Times New Roman" w:hAnsi="Times New Roman" w:cs="Times New Roman"/>
          <w:sz w:val="22"/>
          <w:szCs w:val="22"/>
        </w:rPr>
      </w:pPr>
    </w:p>
    <w:p w14:paraId="6DB0454C" w14:textId="4DDEE13F" w:rsidR="0017403F" w:rsidRPr="00B9403B" w:rsidRDefault="00B9403B" w:rsidP="00B9403B">
      <w:pPr>
        <w:jc w:val="right"/>
        <w:rPr>
          <w:rFonts w:ascii="Times New Roman" w:hAnsi="Times New Roman" w:cs="Times New Roman"/>
          <w:b/>
          <w:bCs/>
          <w:sz w:val="22"/>
          <w:szCs w:val="22"/>
        </w:rPr>
      </w:pPr>
      <w:r w:rsidRPr="00B9403B">
        <w:rPr>
          <w:rFonts w:ascii="Times New Roman" w:hAnsi="Times New Roman" w:cs="Times New Roman"/>
          <w:b/>
          <w:bCs/>
          <w:sz w:val="22"/>
          <w:szCs w:val="22"/>
        </w:rPr>
        <w:t>KASIM 2025</w:t>
      </w:r>
    </w:p>
    <w:p w14:paraId="1E5F6D79" w14:textId="77777777" w:rsidR="0017403F" w:rsidRPr="00FC4ACA" w:rsidRDefault="0017403F" w:rsidP="009204C5">
      <w:pPr>
        <w:numPr>
          <w:ilvl w:val="0"/>
          <w:numId w:val="1"/>
        </w:numPr>
        <w:jc w:val="both"/>
        <w:rPr>
          <w:rFonts w:ascii="Times New Roman" w:hAnsi="Times New Roman" w:cs="Times New Roman"/>
          <w:b/>
          <w:bCs/>
          <w:sz w:val="22"/>
          <w:szCs w:val="22"/>
        </w:rPr>
      </w:pPr>
      <w:r w:rsidRPr="00FC4ACA">
        <w:rPr>
          <w:rFonts w:ascii="Times New Roman" w:hAnsi="Times New Roman" w:cs="Times New Roman"/>
          <w:b/>
          <w:bCs/>
          <w:sz w:val="22"/>
          <w:szCs w:val="22"/>
        </w:rPr>
        <w:t>VERGİ HUKUKU SERİSİ #1 – VERGİ UYUMU’NUN ŞİRKETLER İÇİN ÖNEMİ</w:t>
      </w:r>
    </w:p>
    <w:p w14:paraId="4DF76DFC" w14:textId="77777777" w:rsidR="0017403F" w:rsidRPr="00FC4ACA" w:rsidRDefault="0017403F" w:rsidP="009204C5">
      <w:pPr>
        <w:jc w:val="both"/>
        <w:rPr>
          <w:rFonts w:ascii="Times New Roman" w:hAnsi="Times New Roman" w:cs="Times New Roman"/>
          <w:sz w:val="22"/>
          <w:szCs w:val="22"/>
        </w:rPr>
      </w:pPr>
    </w:p>
    <w:p w14:paraId="28432AC6"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Vergi uyumu, mükelleflerin vergi mevzuatına uygun biçimde beyan ve ödeme yükümlülüklerini yerine getirmesini ifade etmektedir.</w:t>
      </w:r>
    </w:p>
    <w:p w14:paraId="33CCB9AF"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Bu süreç, mali tabloların doğruluğunun yanı sıra şirketin yasal güvenilirliğini, denetim kabiliyetini ve yatırımcı nezdindeki itibarını doğrudan etkilemektedir.</w:t>
      </w:r>
    </w:p>
    <w:p w14:paraId="4FFC3A8D"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Vergi uyumu sağlanmayan yapılarda hatalı beyan, usulsüzlük ve cezai yaptırım riski artmakta; bu durum yönetimsel ve hukuki yükümlülükleri de ağırlaştırmaktadır.</w:t>
      </w:r>
    </w:p>
    <w:p w14:paraId="1A5F141C"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b/>
          <w:bCs/>
          <w:sz w:val="22"/>
          <w:szCs w:val="22"/>
        </w:rPr>
        <w:t>Hukuki Çerçeve ve Sorumluluk Alanı</w:t>
      </w:r>
    </w:p>
    <w:p w14:paraId="4C932454"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Vergi Usul Kanunu (“VUK”) başta olmak üzere, Gelir Vergisi Kanunu, Kurumlar Vergisi Kanunu ve Katma Değer Vergisi Kanunu, vergi uyumunun yasal çerçevesini belirlemektedir.</w:t>
      </w:r>
    </w:p>
    <w:p w14:paraId="43E58029"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Bu düzenlemeler, beyan sürelerinden belge düzenine, kayıt tutma zorunluluğundan dijital raporlamaya kadar geniş bir alanı kapsamaktadır.</w:t>
      </w:r>
    </w:p>
    <w:p w14:paraId="56726FF9"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 xml:space="preserve">Mevzuata aykırı davranış, idari para cezalarıyla birlikte, vergi </w:t>
      </w:r>
      <w:proofErr w:type="spellStart"/>
      <w:r w:rsidRPr="00FC4ACA">
        <w:rPr>
          <w:rFonts w:ascii="Times New Roman" w:hAnsi="Times New Roman" w:cs="Times New Roman"/>
          <w:sz w:val="22"/>
          <w:szCs w:val="22"/>
        </w:rPr>
        <w:t>ziyaı</w:t>
      </w:r>
      <w:proofErr w:type="spellEnd"/>
      <w:r w:rsidRPr="00FC4ACA">
        <w:rPr>
          <w:rFonts w:ascii="Times New Roman" w:hAnsi="Times New Roman" w:cs="Times New Roman"/>
          <w:sz w:val="22"/>
          <w:szCs w:val="22"/>
        </w:rPr>
        <w:t xml:space="preserve"> ve usulsüzlük yaptırımlarını gündeme getirmektedir. Bu nedenle, vergi uyumu şirket yönetiminin stratejik sorumluluk alanlarından biri haline gelmektedir.</w:t>
      </w:r>
    </w:p>
    <w:p w14:paraId="7F3E7D71"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Vergi uyumunun etkin biçimde sağlanabilmesi için, iç kontrol mekanizmalarının sistematik biçimde işletilmesi gerekmektedir.</w:t>
      </w:r>
    </w:p>
    <w:p w14:paraId="1B5F5E06"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b/>
          <w:bCs/>
          <w:sz w:val="22"/>
          <w:szCs w:val="22"/>
        </w:rPr>
        <w:t>Kurumsal Yönetim ve İç Kontrol Süreçleri</w:t>
      </w:r>
    </w:p>
    <w:p w14:paraId="34A6DD54"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Kayıt düzeninin denetim altında tutulması, belge akışının izlenebilir hale getirilmesi ve beyan süreçlerinin periyodik olarak gözden geçirilmesi önem taşımaktadır.</w:t>
      </w:r>
    </w:p>
    <w:p w14:paraId="0085AE7F"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 xml:space="preserve">Vergi risk yönetimi birimlerinin </w:t>
      </w:r>
      <w:proofErr w:type="gramStart"/>
      <w:r w:rsidRPr="00FC4ACA">
        <w:rPr>
          <w:rFonts w:ascii="Times New Roman" w:hAnsi="Times New Roman" w:cs="Times New Roman"/>
          <w:sz w:val="22"/>
          <w:szCs w:val="22"/>
        </w:rPr>
        <w:t>oluşturulması,</w:t>
      </w:r>
      <w:proofErr w:type="gramEnd"/>
      <w:r w:rsidRPr="00FC4ACA">
        <w:rPr>
          <w:rFonts w:ascii="Times New Roman" w:hAnsi="Times New Roman" w:cs="Times New Roman"/>
          <w:sz w:val="22"/>
          <w:szCs w:val="22"/>
        </w:rPr>
        <w:t xml:space="preserve"> hem denetimlerde savunma kabiliyetini artırmakta hem de hukuki güvence sağlamaktadır.</w:t>
      </w:r>
    </w:p>
    <w:p w14:paraId="2383DC7C"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Gelir İdaresi Başkanlığı tarafından yürürlüğe konulan e-fatura, e-defter, e-arşiv ve e-irsaliye sistemleri, vergi uyumunun dijital altyapısını oluşturmaktadır.</w:t>
      </w:r>
    </w:p>
    <w:p w14:paraId="14AE4A2E"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b/>
          <w:bCs/>
          <w:sz w:val="22"/>
          <w:szCs w:val="22"/>
        </w:rPr>
        <w:t>Dijital Vergi Uygulamaları ve Uyumun Yeni Boyutu</w:t>
      </w:r>
    </w:p>
    <w:p w14:paraId="7D609079"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Bu sistemlerin doğru entegrasyonu, hatalı beyan riskini azaltmakta ve şirketlerin denetim süreçlerinde şeffaflık sağlamaktadır.</w:t>
      </w:r>
    </w:p>
    <w:p w14:paraId="7C937EA2"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lastRenderedPageBreak/>
        <w:t>Dijital sistemlerin mevzuata uygun biçimde yönetilmemesi durumunda, teknik hatalar bile ciddi idari yaptırımlara neden olabilmektedir.</w:t>
      </w:r>
    </w:p>
    <w:p w14:paraId="416DFB12"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Vergi uyumunu sistematik biçimde yöneten işletmeler, finansal güvenilirliklerini artırmakta ve yatırım süreçlerinde avantaj elde etmektedir.</w:t>
      </w:r>
    </w:p>
    <w:p w14:paraId="3345C2DF"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b/>
          <w:bCs/>
          <w:sz w:val="22"/>
          <w:szCs w:val="22"/>
        </w:rPr>
        <w:t>Stratejik Uyumun İşletmelere Katkısı</w:t>
      </w:r>
    </w:p>
    <w:p w14:paraId="1651BCFB"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Kurumsal denetimlerde tutarlılık sağlanması, finans kuruluşları ve paydaşlar nezdinde güven unsuru yaratmaktadır.</w:t>
      </w:r>
    </w:p>
    <w:p w14:paraId="58CBA619"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 xml:space="preserve">Bu </w:t>
      </w:r>
      <w:proofErr w:type="gramStart"/>
      <w:r w:rsidRPr="00FC4ACA">
        <w:rPr>
          <w:rFonts w:ascii="Times New Roman" w:hAnsi="Times New Roman" w:cs="Times New Roman"/>
          <w:sz w:val="22"/>
          <w:szCs w:val="22"/>
        </w:rPr>
        <w:t>yaklaşım,</w:t>
      </w:r>
      <w:proofErr w:type="gramEnd"/>
      <w:r w:rsidRPr="00FC4ACA">
        <w:rPr>
          <w:rFonts w:ascii="Times New Roman" w:hAnsi="Times New Roman" w:cs="Times New Roman"/>
          <w:sz w:val="22"/>
          <w:szCs w:val="22"/>
        </w:rPr>
        <w:t xml:space="preserve"> hem iç denetimlerin etkinliğini güçlendirmekte hem de olası uyuşmazlık süreçlerinde şirketin pozisyonunu korumaktadır.</w:t>
      </w:r>
    </w:p>
    <w:p w14:paraId="17B000C6"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Vergi uyumunun planlı biçimde yürütülmesi, şirketlerin hukuki güvenliğini artırmakta, denetim süreçlerinde öngörülebilirlik sağlamaktadır.</w:t>
      </w:r>
    </w:p>
    <w:p w14:paraId="561A70CA"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b/>
          <w:bCs/>
          <w:sz w:val="22"/>
          <w:szCs w:val="22"/>
        </w:rPr>
        <w:t>Kısa Değerlendirme</w:t>
      </w:r>
    </w:p>
    <w:p w14:paraId="4F65CC73"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Doğru yapılandırılmış uyum politikaları, cezai risklerin azalmasına ve kurumsal itibarın korunmasına katkı sunmaktadır.</w:t>
      </w:r>
    </w:p>
    <w:p w14:paraId="0F61342B"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Bu çerçevede, profesyonel hukuki rehberlikten yararlanılması, şirketlerin mevzuat değişimlerine karşı daha dayanıklı bir yapı oluşturmasına imkân sağlamaktadır.</w:t>
      </w:r>
    </w:p>
    <w:p w14:paraId="1F1B07AD" w14:textId="77777777" w:rsidR="0017403F" w:rsidRPr="00FC4ACA" w:rsidRDefault="0017403F" w:rsidP="009204C5">
      <w:pPr>
        <w:jc w:val="both"/>
        <w:rPr>
          <w:rFonts w:ascii="Times New Roman" w:hAnsi="Times New Roman" w:cs="Times New Roman"/>
          <w:sz w:val="22"/>
          <w:szCs w:val="22"/>
        </w:rPr>
      </w:pPr>
    </w:p>
    <w:p w14:paraId="6B023835" w14:textId="39084474" w:rsidR="0017403F" w:rsidRPr="00812BAD" w:rsidRDefault="00812BAD" w:rsidP="00812BAD">
      <w:pPr>
        <w:jc w:val="right"/>
        <w:rPr>
          <w:rFonts w:ascii="Times New Roman" w:hAnsi="Times New Roman" w:cs="Times New Roman"/>
          <w:b/>
          <w:bCs/>
          <w:sz w:val="22"/>
          <w:szCs w:val="22"/>
        </w:rPr>
      </w:pPr>
      <w:r w:rsidRPr="00812BAD">
        <w:rPr>
          <w:rFonts w:ascii="Times New Roman" w:hAnsi="Times New Roman" w:cs="Times New Roman"/>
          <w:b/>
          <w:bCs/>
          <w:sz w:val="22"/>
          <w:szCs w:val="22"/>
        </w:rPr>
        <w:t>ARALIK 2025</w:t>
      </w:r>
    </w:p>
    <w:p w14:paraId="4F334A94" w14:textId="77777777" w:rsidR="0017403F" w:rsidRPr="00FC4ACA" w:rsidRDefault="0017403F" w:rsidP="009204C5">
      <w:pPr>
        <w:numPr>
          <w:ilvl w:val="0"/>
          <w:numId w:val="1"/>
        </w:numPr>
        <w:jc w:val="both"/>
        <w:rPr>
          <w:rFonts w:ascii="Times New Roman" w:hAnsi="Times New Roman" w:cs="Times New Roman"/>
          <w:b/>
          <w:bCs/>
          <w:sz w:val="22"/>
          <w:szCs w:val="22"/>
        </w:rPr>
      </w:pPr>
      <w:r w:rsidRPr="00FC4ACA">
        <w:rPr>
          <w:rFonts w:ascii="Times New Roman" w:hAnsi="Times New Roman" w:cs="Times New Roman"/>
          <w:b/>
          <w:bCs/>
          <w:sz w:val="22"/>
          <w:szCs w:val="22"/>
        </w:rPr>
        <w:t>VERGİ HUKUKU SERİSİ #3 – SIK YAPILAN VERGİSEL HATALAR VE SONUÇLARI</w:t>
      </w:r>
    </w:p>
    <w:p w14:paraId="2117E07E" w14:textId="35939DD8" w:rsidR="009551B7" w:rsidRPr="00FC4ACA" w:rsidRDefault="009551B7" w:rsidP="009204C5">
      <w:pPr>
        <w:jc w:val="both"/>
        <w:rPr>
          <w:rFonts w:ascii="Times New Roman" w:hAnsi="Times New Roman" w:cs="Times New Roman"/>
          <w:sz w:val="22"/>
          <w:szCs w:val="22"/>
        </w:rPr>
      </w:pPr>
      <w:r w:rsidRPr="00FC4ACA">
        <w:rPr>
          <w:rFonts w:ascii="Times New Roman" w:hAnsi="Times New Roman" w:cs="Times New Roman"/>
          <w:sz w:val="22"/>
          <w:szCs w:val="22"/>
        </w:rPr>
        <w:t>Vergi mevzuatı sürekli güncellenen ve yakından takip edilmesi gereken bir yapıya sahiptir. Bu nedenle işletmelerin yaptığı küçük bir hata bile önemli finansal sonuçlar doğurmaktadır.</w:t>
      </w:r>
    </w:p>
    <w:p w14:paraId="2C0BF8EC" w14:textId="77777777" w:rsidR="009551B7" w:rsidRPr="00FC4ACA" w:rsidRDefault="009551B7" w:rsidP="009204C5">
      <w:pPr>
        <w:jc w:val="both"/>
        <w:rPr>
          <w:rFonts w:ascii="Times New Roman" w:hAnsi="Times New Roman" w:cs="Times New Roman"/>
          <w:sz w:val="22"/>
          <w:szCs w:val="22"/>
        </w:rPr>
      </w:pPr>
      <w:r w:rsidRPr="00FC4ACA">
        <w:rPr>
          <w:rFonts w:ascii="Times New Roman" w:hAnsi="Times New Roman" w:cs="Times New Roman"/>
          <w:sz w:val="22"/>
          <w:szCs w:val="22"/>
        </w:rPr>
        <w:t>Bu seride, uygulamada en sık karşılaşılan vergisel hataları ve bu hataların doğurduğu sonuçları ele almaktayız.</w:t>
      </w:r>
    </w:p>
    <w:p w14:paraId="62594395" w14:textId="77777777" w:rsidR="009551B7" w:rsidRPr="00FC4ACA" w:rsidRDefault="009551B7" w:rsidP="009204C5">
      <w:pPr>
        <w:jc w:val="both"/>
        <w:rPr>
          <w:rFonts w:ascii="Times New Roman" w:hAnsi="Times New Roman" w:cs="Times New Roman"/>
          <w:b/>
          <w:bCs/>
          <w:sz w:val="22"/>
          <w:szCs w:val="22"/>
        </w:rPr>
      </w:pPr>
    </w:p>
    <w:p w14:paraId="4F5E5FC9" w14:textId="7ACA6637" w:rsidR="009551B7" w:rsidRPr="00FC4ACA" w:rsidRDefault="009551B7" w:rsidP="009204C5">
      <w:pPr>
        <w:jc w:val="both"/>
        <w:rPr>
          <w:rFonts w:ascii="Times New Roman" w:hAnsi="Times New Roman" w:cs="Times New Roman"/>
          <w:b/>
          <w:bCs/>
          <w:sz w:val="22"/>
          <w:szCs w:val="22"/>
        </w:rPr>
      </w:pPr>
      <w:r w:rsidRPr="00FC4ACA">
        <w:rPr>
          <w:rFonts w:ascii="Times New Roman" w:hAnsi="Times New Roman" w:cs="Times New Roman"/>
          <w:b/>
          <w:bCs/>
          <w:sz w:val="22"/>
          <w:szCs w:val="22"/>
        </w:rPr>
        <w:t>Eksik veya Yanlış Beyan</w:t>
      </w:r>
    </w:p>
    <w:p w14:paraId="399BCFAC" w14:textId="5E57248F" w:rsidR="009551B7" w:rsidRPr="00FC4ACA" w:rsidRDefault="009551B7" w:rsidP="009204C5">
      <w:pPr>
        <w:jc w:val="both"/>
        <w:rPr>
          <w:rFonts w:ascii="Times New Roman" w:hAnsi="Times New Roman" w:cs="Times New Roman"/>
          <w:sz w:val="22"/>
          <w:szCs w:val="22"/>
        </w:rPr>
      </w:pPr>
      <w:r w:rsidRPr="00FC4ACA">
        <w:rPr>
          <w:rFonts w:ascii="Times New Roman" w:hAnsi="Times New Roman" w:cs="Times New Roman"/>
          <w:sz w:val="22"/>
          <w:szCs w:val="22"/>
        </w:rPr>
        <w:t>Beyan dönemlerinde yapılan hatalı bildirimler işletmenin yükümlülüklerini doğrudan etkilemektedir. Eksik gelir beyanı, yanlış gider yazımı veya hatalı vergi matrahı belirlenmesi işletmeler için ciddi risk oluşturmaktadır.</w:t>
      </w:r>
    </w:p>
    <w:p w14:paraId="659D04C2" w14:textId="336A97B7" w:rsidR="009551B7" w:rsidRPr="00FC4ACA" w:rsidRDefault="009551B7" w:rsidP="009204C5">
      <w:pPr>
        <w:jc w:val="both"/>
        <w:rPr>
          <w:rFonts w:ascii="Times New Roman" w:hAnsi="Times New Roman" w:cs="Times New Roman"/>
          <w:sz w:val="22"/>
          <w:szCs w:val="22"/>
        </w:rPr>
      </w:pPr>
      <w:r w:rsidRPr="00FC4ACA">
        <w:rPr>
          <w:rFonts w:ascii="Times New Roman" w:hAnsi="Times New Roman" w:cs="Times New Roman"/>
          <w:sz w:val="22"/>
          <w:szCs w:val="22"/>
        </w:rPr>
        <w:t xml:space="preserve">Bu tür hatalar, vergi </w:t>
      </w:r>
      <w:proofErr w:type="spellStart"/>
      <w:r w:rsidRPr="00FC4ACA">
        <w:rPr>
          <w:rFonts w:ascii="Times New Roman" w:hAnsi="Times New Roman" w:cs="Times New Roman"/>
          <w:sz w:val="22"/>
          <w:szCs w:val="22"/>
        </w:rPr>
        <w:t>ziyaı</w:t>
      </w:r>
      <w:proofErr w:type="spellEnd"/>
      <w:r w:rsidRPr="00FC4ACA">
        <w:rPr>
          <w:rFonts w:ascii="Times New Roman" w:hAnsi="Times New Roman" w:cs="Times New Roman"/>
          <w:sz w:val="22"/>
          <w:szCs w:val="22"/>
        </w:rPr>
        <w:t xml:space="preserve"> cezası ve gecikme faizine yol açmaktadır. Düzenli iç kontrol mekanizmaları bu riskleri azaltan temel unsurdur.</w:t>
      </w:r>
    </w:p>
    <w:p w14:paraId="58260868" w14:textId="77777777" w:rsidR="009204C5" w:rsidRPr="00FC4ACA" w:rsidRDefault="009204C5" w:rsidP="009204C5">
      <w:pPr>
        <w:jc w:val="both"/>
        <w:rPr>
          <w:rFonts w:ascii="Times New Roman" w:hAnsi="Times New Roman" w:cs="Times New Roman"/>
          <w:b/>
          <w:bCs/>
          <w:sz w:val="22"/>
          <w:szCs w:val="22"/>
        </w:rPr>
      </w:pPr>
    </w:p>
    <w:p w14:paraId="53CC67A8" w14:textId="617ECA5C" w:rsidR="009551B7" w:rsidRPr="00FC4ACA" w:rsidRDefault="009551B7" w:rsidP="009204C5">
      <w:pPr>
        <w:jc w:val="both"/>
        <w:rPr>
          <w:rFonts w:ascii="Times New Roman" w:hAnsi="Times New Roman" w:cs="Times New Roman"/>
          <w:b/>
          <w:bCs/>
          <w:sz w:val="22"/>
          <w:szCs w:val="22"/>
        </w:rPr>
      </w:pPr>
      <w:r w:rsidRPr="00FC4ACA">
        <w:rPr>
          <w:rFonts w:ascii="Times New Roman" w:hAnsi="Times New Roman" w:cs="Times New Roman"/>
          <w:b/>
          <w:bCs/>
          <w:sz w:val="22"/>
          <w:szCs w:val="22"/>
        </w:rPr>
        <w:t>Fatura Düzenine Aykırılıklar</w:t>
      </w:r>
    </w:p>
    <w:p w14:paraId="1664190E" w14:textId="47C5D66D" w:rsidR="009551B7" w:rsidRPr="00FC4ACA" w:rsidRDefault="009551B7" w:rsidP="009204C5">
      <w:pPr>
        <w:jc w:val="both"/>
        <w:rPr>
          <w:rFonts w:ascii="Times New Roman" w:hAnsi="Times New Roman" w:cs="Times New Roman"/>
          <w:sz w:val="22"/>
          <w:szCs w:val="22"/>
        </w:rPr>
      </w:pPr>
      <w:r w:rsidRPr="00FC4ACA">
        <w:rPr>
          <w:rFonts w:ascii="Times New Roman" w:hAnsi="Times New Roman" w:cs="Times New Roman"/>
          <w:sz w:val="22"/>
          <w:szCs w:val="22"/>
        </w:rPr>
        <w:t>Faturanın zamanında düzenlenmemesi, hatalı tutarla kesilmesi veya hiç kesilmemesi en sık görülen vergi ihlallerindendir. E-belge sistemine uyumsuzluk, işletmenin cezai işleme maruz kalmasına neden olmaktadır.</w:t>
      </w:r>
    </w:p>
    <w:p w14:paraId="1921F9FE" w14:textId="77777777" w:rsidR="009551B7" w:rsidRPr="00FC4ACA" w:rsidRDefault="009551B7" w:rsidP="009204C5">
      <w:pPr>
        <w:jc w:val="both"/>
        <w:rPr>
          <w:rFonts w:ascii="Times New Roman" w:hAnsi="Times New Roman" w:cs="Times New Roman"/>
          <w:sz w:val="22"/>
          <w:szCs w:val="22"/>
        </w:rPr>
      </w:pPr>
      <w:r w:rsidRPr="00FC4ACA">
        <w:rPr>
          <w:rFonts w:ascii="Times New Roman" w:hAnsi="Times New Roman" w:cs="Times New Roman"/>
          <w:sz w:val="22"/>
          <w:szCs w:val="22"/>
        </w:rPr>
        <w:t>Düzenli fatura takibi ve uygun muhasebe altyapısı bu sorunun çözümü için gereklidir.</w:t>
      </w:r>
    </w:p>
    <w:p w14:paraId="478038D3" w14:textId="77777777" w:rsidR="009551B7" w:rsidRPr="00FC4ACA" w:rsidRDefault="009551B7" w:rsidP="009204C5">
      <w:pPr>
        <w:jc w:val="both"/>
        <w:rPr>
          <w:rFonts w:ascii="Times New Roman" w:hAnsi="Times New Roman" w:cs="Times New Roman"/>
          <w:b/>
          <w:bCs/>
          <w:sz w:val="22"/>
          <w:szCs w:val="22"/>
        </w:rPr>
      </w:pPr>
    </w:p>
    <w:p w14:paraId="28ED4584" w14:textId="55CBC02B" w:rsidR="009551B7" w:rsidRPr="00FC4ACA" w:rsidRDefault="009551B7" w:rsidP="009204C5">
      <w:pPr>
        <w:jc w:val="both"/>
        <w:rPr>
          <w:rFonts w:ascii="Times New Roman" w:hAnsi="Times New Roman" w:cs="Times New Roman"/>
          <w:b/>
          <w:bCs/>
          <w:sz w:val="22"/>
          <w:szCs w:val="22"/>
        </w:rPr>
      </w:pPr>
      <w:r w:rsidRPr="00FC4ACA">
        <w:rPr>
          <w:rFonts w:ascii="Times New Roman" w:hAnsi="Times New Roman" w:cs="Times New Roman"/>
          <w:b/>
          <w:bCs/>
          <w:sz w:val="22"/>
          <w:szCs w:val="22"/>
        </w:rPr>
        <w:t>Belgelendirilemeyen Giderler</w:t>
      </w:r>
    </w:p>
    <w:p w14:paraId="1578BAD2" w14:textId="5993560E" w:rsidR="009551B7" w:rsidRPr="00FC4ACA" w:rsidRDefault="009551B7" w:rsidP="009204C5">
      <w:pPr>
        <w:jc w:val="both"/>
        <w:rPr>
          <w:rFonts w:ascii="Times New Roman" w:hAnsi="Times New Roman" w:cs="Times New Roman"/>
          <w:sz w:val="22"/>
          <w:szCs w:val="22"/>
        </w:rPr>
      </w:pPr>
      <w:r w:rsidRPr="00FC4ACA">
        <w:rPr>
          <w:rFonts w:ascii="Times New Roman" w:hAnsi="Times New Roman" w:cs="Times New Roman"/>
          <w:sz w:val="22"/>
          <w:szCs w:val="22"/>
        </w:rPr>
        <w:t>Giderlerin geçerli belgeyle desteklenmemesi vergi matrahının hatalı oluşmasına yol açmaktadır. Belgesiz gider yazılması hem reddedilmekte hem de risk denetimi ihtimalini artırmaktadır.</w:t>
      </w:r>
    </w:p>
    <w:p w14:paraId="53A3C1A9" w14:textId="77777777" w:rsidR="009551B7" w:rsidRPr="00FC4ACA" w:rsidRDefault="009551B7" w:rsidP="009204C5">
      <w:pPr>
        <w:jc w:val="both"/>
        <w:rPr>
          <w:rFonts w:ascii="Times New Roman" w:hAnsi="Times New Roman" w:cs="Times New Roman"/>
          <w:sz w:val="22"/>
          <w:szCs w:val="22"/>
        </w:rPr>
      </w:pPr>
      <w:r w:rsidRPr="00FC4ACA">
        <w:rPr>
          <w:rFonts w:ascii="Times New Roman" w:hAnsi="Times New Roman" w:cs="Times New Roman"/>
          <w:sz w:val="22"/>
          <w:szCs w:val="22"/>
        </w:rPr>
        <w:t>Bu durum, işletme için ceza doğuran bir sonuç oluşturabilmektedir.</w:t>
      </w:r>
    </w:p>
    <w:p w14:paraId="4C495326" w14:textId="77777777" w:rsidR="009551B7" w:rsidRPr="00FC4ACA" w:rsidRDefault="009551B7" w:rsidP="009204C5">
      <w:pPr>
        <w:jc w:val="both"/>
        <w:rPr>
          <w:rFonts w:ascii="Times New Roman" w:hAnsi="Times New Roman" w:cs="Times New Roman"/>
          <w:sz w:val="22"/>
          <w:szCs w:val="22"/>
        </w:rPr>
      </w:pPr>
    </w:p>
    <w:p w14:paraId="28AD5AF9" w14:textId="11EDE24A" w:rsidR="009551B7" w:rsidRPr="00FC4ACA" w:rsidRDefault="009551B7" w:rsidP="009204C5">
      <w:pPr>
        <w:jc w:val="both"/>
        <w:rPr>
          <w:rFonts w:ascii="Times New Roman" w:hAnsi="Times New Roman" w:cs="Times New Roman"/>
          <w:b/>
          <w:bCs/>
          <w:sz w:val="22"/>
          <w:szCs w:val="22"/>
        </w:rPr>
      </w:pPr>
      <w:r w:rsidRPr="00FC4ACA">
        <w:rPr>
          <w:rFonts w:ascii="Times New Roman" w:hAnsi="Times New Roman" w:cs="Times New Roman"/>
          <w:b/>
          <w:bCs/>
          <w:sz w:val="22"/>
          <w:szCs w:val="22"/>
        </w:rPr>
        <w:t>Yanlış Teşvik Kullanımı</w:t>
      </w:r>
    </w:p>
    <w:p w14:paraId="7F4C2A97" w14:textId="19BD66E5" w:rsidR="009551B7" w:rsidRPr="00FC4ACA" w:rsidRDefault="009551B7" w:rsidP="009204C5">
      <w:pPr>
        <w:jc w:val="both"/>
        <w:rPr>
          <w:rFonts w:ascii="Times New Roman" w:hAnsi="Times New Roman" w:cs="Times New Roman"/>
          <w:sz w:val="22"/>
          <w:szCs w:val="22"/>
        </w:rPr>
      </w:pPr>
      <w:r w:rsidRPr="00FC4ACA">
        <w:rPr>
          <w:rFonts w:ascii="Times New Roman" w:hAnsi="Times New Roman" w:cs="Times New Roman"/>
          <w:sz w:val="22"/>
          <w:szCs w:val="22"/>
        </w:rPr>
        <w:t>Vergi teşvikleri işletmeler için önemli avantaj sağlamaktadır. Ancak teşvik şartlarının doğru yorumlanmaması veya eksik belgelerle başvuru yapılması, teşvikin reddine yol açmaktadır.</w:t>
      </w:r>
    </w:p>
    <w:p w14:paraId="431D5A8F" w14:textId="6A322F70" w:rsidR="009551B7" w:rsidRPr="00FC4ACA" w:rsidRDefault="009551B7" w:rsidP="009204C5">
      <w:pPr>
        <w:jc w:val="both"/>
        <w:rPr>
          <w:rFonts w:ascii="Times New Roman" w:hAnsi="Times New Roman" w:cs="Times New Roman"/>
          <w:sz w:val="22"/>
          <w:szCs w:val="22"/>
        </w:rPr>
      </w:pPr>
      <w:r w:rsidRPr="00FC4ACA">
        <w:rPr>
          <w:rFonts w:ascii="Times New Roman" w:hAnsi="Times New Roman" w:cs="Times New Roman"/>
          <w:sz w:val="22"/>
          <w:szCs w:val="22"/>
        </w:rPr>
        <w:t>Yanlış yararlanılan teşvikler geriye dönük olarak iptal edilmekte ve cezai yaptırım uygulanmaktadır. Teşvik süreçlerinin uzmanlıkla takip edilmesi gerekmektedir.</w:t>
      </w:r>
    </w:p>
    <w:p w14:paraId="5C273566" w14:textId="77777777" w:rsidR="009204C5" w:rsidRPr="00FC4ACA" w:rsidRDefault="009204C5" w:rsidP="009204C5">
      <w:pPr>
        <w:jc w:val="both"/>
        <w:rPr>
          <w:rFonts w:ascii="Times New Roman" w:hAnsi="Times New Roman" w:cs="Times New Roman"/>
          <w:sz w:val="22"/>
          <w:szCs w:val="22"/>
        </w:rPr>
      </w:pPr>
    </w:p>
    <w:p w14:paraId="13164FFE" w14:textId="6761FC48" w:rsidR="009551B7" w:rsidRPr="00FC4ACA" w:rsidRDefault="009551B7" w:rsidP="009204C5">
      <w:pPr>
        <w:jc w:val="both"/>
        <w:rPr>
          <w:rFonts w:ascii="Times New Roman" w:hAnsi="Times New Roman" w:cs="Times New Roman"/>
          <w:b/>
          <w:bCs/>
          <w:sz w:val="22"/>
          <w:szCs w:val="22"/>
        </w:rPr>
      </w:pPr>
      <w:r w:rsidRPr="00FC4ACA">
        <w:rPr>
          <w:rFonts w:ascii="Times New Roman" w:hAnsi="Times New Roman" w:cs="Times New Roman"/>
          <w:b/>
          <w:bCs/>
          <w:sz w:val="22"/>
          <w:szCs w:val="22"/>
        </w:rPr>
        <w:t>KDV Uygulamalarında Yapılan Hatalar</w:t>
      </w:r>
    </w:p>
    <w:p w14:paraId="6F48E88B" w14:textId="210721EB" w:rsidR="009551B7" w:rsidRPr="00FC4ACA" w:rsidRDefault="009551B7" w:rsidP="009204C5">
      <w:pPr>
        <w:jc w:val="both"/>
        <w:rPr>
          <w:rFonts w:ascii="Times New Roman" w:hAnsi="Times New Roman" w:cs="Times New Roman"/>
          <w:sz w:val="22"/>
          <w:szCs w:val="22"/>
        </w:rPr>
      </w:pPr>
      <w:r w:rsidRPr="00FC4ACA">
        <w:rPr>
          <w:rFonts w:ascii="Times New Roman" w:hAnsi="Times New Roman" w:cs="Times New Roman"/>
          <w:sz w:val="22"/>
          <w:szCs w:val="22"/>
        </w:rPr>
        <w:t>Yanlış oran kullanımı, indirimli KDV iadesinin eksik hesaplanması veya tevkifat kurallarına uyulmaması işletmeleri zor durumda bırakmaktadır.</w:t>
      </w:r>
    </w:p>
    <w:p w14:paraId="45C943B6" w14:textId="3C68EE29" w:rsidR="009551B7" w:rsidRPr="00FC4ACA" w:rsidRDefault="009551B7" w:rsidP="009204C5">
      <w:pPr>
        <w:jc w:val="both"/>
        <w:rPr>
          <w:rFonts w:ascii="Times New Roman" w:hAnsi="Times New Roman" w:cs="Times New Roman"/>
          <w:sz w:val="22"/>
          <w:szCs w:val="22"/>
        </w:rPr>
      </w:pPr>
      <w:r w:rsidRPr="00FC4ACA">
        <w:rPr>
          <w:rFonts w:ascii="Times New Roman" w:hAnsi="Times New Roman" w:cs="Times New Roman"/>
          <w:sz w:val="22"/>
          <w:szCs w:val="22"/>
        </w:rPr>
        <w:t>KDV uygulamalarındaki küçük bir hata bile yüksek maliyetli sonuçlar doğurmaktadır. KDV süreçlerinin düzenli gözden geçirilmesi işletme için güvence sağlamaktadır.</w:t>
      </w:r>
    </w:p>
    <w:p w14:paraId="39AE4F8C" w14:textId="77777777" w:rsidR="009204C5" w:rsidRPr="00FC4ACA" w:rsidRDefault="009204C5" w:rsidP="009204C5">
      <w:pPr>
        <w:jc w:val="both"/>
        <w:rPr>
          <w:rFonts w:ascii="Times New Roman" w:hAnsi="Times New Roman" w:cs="Times New Roman"/>
          <w:sz w:val="22"/>
          <w:szCs w:val="22"/>
        </w:rPr>
      </w:pPr>
    </w:p>
    <w:p w14:paraId="4A96954A" w14:textId="3CC7EA83" w:rsidR="009551B7" w:rsidRPr="00FC4ACA" w:rsidRDefault="009551B7" w:rsidP="009204C5">
      <w:pPr>
        <w:jc w:val="both"/>
        <w:rPr>
          <w:rFonts w:ascii="Times New Roman" w:hAnsi="Times New Roman" w:cs="Times New Roman"/>
          <w:b/>
          <w:bCs/>
          <w:sz w:val="22"/>
          <w:szCs w:val="22"/>
        </w:rPr>
      </w:pPr>
      <w:r w:rsidRPr="00FC4ACA">
        <w:rPr>
          <w:rFonts w:ascii="Times New Roman" w:hAnsi="Times New Roman" w:cs="Times New Roman"/>
          <w:b/>
          <w:bCs/>
          <w:sz w:val="22"/>
          <w:szCs w:val="22"/>
        </w:rPr>
        <w:t>Muhtasar ve Prim Hizmet Beyannamesinde Hatalar</w:t>
      </w:r>
    </w:p>
    <w:p w14:paraId="68718F78" w14:textId="67C7281A" w:rsidR="009551B7" w:rsidRPr="00FC4ACA" w:rsidRDefault="009551B7" w:rsidP="009204C5">
      <w:pPr>
        <w:jc w:val="both"/>
        <w:rPr>
          <w:rFonts w:ascii="Times New Roman" w:hAnsi="Times New Roman" w:cs="Times New Roman"/>
          <w:sz w:val="22"/>
          <w:szCs w:val="22"/>
        </w:rPr>
      </w:pPr>
      <w:r w:rsidRPr="00FC4ACA">
        <w:rPr>
          <w:rFonts w:ascii="Times New Roman" w:hAnsi="Times New Roman" w:cs="Times New Roman"/>
          <w:sz w:val="22"/>
          <w:szCs w:val="22"/>
        </w:rPr>
        <w:t>Çalışan bildirimi, stopaj oranı veya SGK primleriyle ilgili hatalar sık karşılaşılan sorunlardandır. Eksik ya da yanlış bildirilen her bilgi işletme açısından cezai sonuç doğurabilmektedir.</w:t>
      </w:r>
    </w:p>
    <w:p w14:paraId="6799EF05" w14:textId="77777777" w:rsidR="009551B7" w:rsidRPr="00FC4ACA" w:rsidRDefault="009551B7" w:rsidP="009204C5">
      <w:pPr>
        <w:jc w:val="both"/>
        <w:rPr>
          <w:rFonts w:ascii="Times New Roman" w:hAnsi="Times New Roman" w:cs="Times New Roman"/>
          <w:sz w:val="22"/>
          <w:szCs w:val="22"/>
        </w:rPr>
      </w:pPr>
      <w:r w:rsidRPr="00FC4ACA">
        <w:rPr>
          <w:rFonts w:ascii="Times New Roman" w:hAnsi="Times New Roman" w:cs="Times New Roman"/>
          <w:sz w:val="22"/>
          <w:szCs w:val="22"/>
        </w:rPr>
        <w:t>Bu bölüm, personel yönetiminin hukuki yönünü güçlendiren temel kontrol alanıdır.</w:t>
      </w:r>
    </w:p>
    <w:p w14:paraId="17737965" w14:textId="77777777" w:rsidR="009551B7" w:rsidRPr="00FC4ACA" w:rsidRDefault="009551B7" w:rsidP="009204C5">
      <w:pPr>
        <w:jc w:val="both"/>
        <w:rPr>
          <w:rFonts w:ascii="Times New Roman" w:hAnsi="Times New Roman" w:cs="Times New Roman"/>
          <w:sz w:val="22"/>
          <w:szCs w:val="22"/>
        </w:rPr>
      </w:pPr>
    </w:p>
    <w:p w14:paraId="0AC73632" w14:textId="7BD3DE74" w:rsidR="009551B7" w:rsidRPr="00FC4ACA" w:rsidRDefault="009551B7" w:rsidP="009204C5">
      <w:pPr>
        <w:jc w:val="both"/>
        <w:rPr>
          <w:rFonts w:ascii="Times New Roman" w:hAnsi="Times New Roman" w:cs="Times New Roman"/>
          <w:b/>
          <w:bCs/>
          <w:sz w:val="22"/>
          <w:szCs w:val="22"/>
        </w:rPr>
      </w:pPr>
      <w:r w:rsidRPr="00FC4ACA">
        <w:rPr>
          <w:rFonts w:ascii="Times New Roman" w:hAnsi="Times New Roman" w:cs="Times New Roman"/>
          <w:b/>
          <w:bCs/>
          <w:sz w:val="22"/>
          <w:szCs w:val="22"/>
        </w:rPr>
        <w:t>Gelir ve Kurumlar Vergisi Döneminde Yapılan Hatalar</w:t>
      </w:r>
    </w:p>
    <w:p w14:paraId="4616A095" w14:textId="1FB01A2A" w:rsidR="009551B7" w:rsidRPr="00FC4ACA" w:rsidRDefault="009551B7" w:rsidP="009204C5">
      <w:pPr>
        <w:jc w:val="both"/>
        <w:rPr>
          <w:rFonts w:ascii="Times New Roman" w:hAnsi="Times New Roman" w:cs="Times New Roman"/>
          <w:sz w:val="22"/>
          <w:szCs w:val="22"/>
        </w:rPr>
      </w:pPr>
      <w:r w:rsidRPr="00FC4ACA">
        <w:rPr>
          <w:rFonts w:ascii="Times New Roman" w:hAnsi="Times New Roman" w:cs="Times New Roman"/>
          <w:sz w:val="22"/>
          <w:szCs w:val="22"/>
        </w:rPr>
        <w:t>Dönemsellik ilkesine uygun olmayan gelir veya gider kayıtları mali tabloları bozmakta ve vergi matrahını yanlış oluşturmaktadır.</w:t>
      </w:r>
    </w:p>
    <w:p w14:paraId="6D1B5AA1" w14:textId="77777777" w:rsidR="009551B7" w:rsidRPr="00FC4ACA" w:rsidRDefault="009551B7" w:rsidP="009204C5">
      <w:pPr>
        <w:jc w:val="both"/>
        <w:rPr>
          <w:rFonts w:ascii="Times New Roman" w:hAnsi="Times New Roman" w:cs="Times New Roman"/>
          <w:sz w:val="22"/>
          <w:szCs w:val="22"/>
        </w:rPr>
      </w:pPr>
      <w:r w:rsidRPr="00FC4ACA">
        <w:rPr>
          <w:rFonts w:ascii="Times New Roman" w:hAnsi="Times New Roman" w:cs="Times New Roman"/>
          <w:sz w:val="22"/>
          <w:szCs w:val="22"/>
        </w:rPr>
        <w:t>Geçici vergi dönemlerinin doğru yönetilmemesi, yıl sonu sürpriz borçlara yol açmaktadır. Her dönem için tutarlı ve doğru kayıt sistemi işletmeler için zorunludur.</w:t>
      </w:r>
    </w:p>
    <w:p w14:paraId="4D70BEE9" w14:textId="77777777" w:rsidR="009551B7" w:rsidRPr="00FC4ACA" w:rsidRDefault="009551B7" w:rsidP="009204C5">
      <w:pPr>
        <w:jc w:val="both"/>
        <w:rPr>
          <w:rFonts w:ascii="Times New Roman" w:hAnsi="Times New Roman" w:cs="Times New Roman"/>
          <w:sz w:val="22"/>
          <w:szCs w:val="22"/>
        </w:rPr>
      </w:pPr>
    </w:p>
    <w:p w14:paraId="7958C430" w14:textId="77777777" w:rsidR="009551B7" w:rsidRPr="00FC4ACA" w:rsidRDefault="009551B7" w:rsidP="009204C5">
      <w:pPr>
        <w:jc w:val="both"/>
        <w:rPr>
          <w:rFonts w:ascii="Times New Roman" w:hAnsi="Times New Roman" w:cs="Times New Roman"/>
          <w:b/>
          <w:bCs/>
          <w:sz w:val="22"/>
          <w:szCs w:val="22"/>
        </w:rPr>
      </w:pPr>
      <w:r w:rsidRPr="00FC4ACA">
        <w:rPr>
          <w:rFonts w:ascii="Times New Roman" w:hAnsi="Times New Roman" w:cs="Times New Roman"/>
          <w:b/>
          <w:bCs/>
          <w:sz w:val="22"/>
          <w:szCs w:val="22"/>
        </w:rPr>
        <w:t>Defter ve Kayıt Düzeni İhlalleri</w:t>
      </w:r>
    </w:p>
    <w:p w14:paraId="5D6B5395" w14:textId="77777777" w:rsidR="009551B7" w:rsidRPr="00FC4ACA" w:rsidRDefault="009551B7" w:rsidP="009204C5">
      <w:pPr>
        <w:jc w:val="both"/>
        <w:rPr>
          <w:rFonts w:ascii="Times New Roman" w:hAnsi="Times New Roman" w:cs="Times New Roman"/>
          <w:sz w:val="22"/>
          <w:szCs w:val="22"/>
        </w:rPr>
      </w:pPr>
    </w:p>
    <w:p w14:paraId="32497EBB" w14:textId="217F4078" w:rsidR="009551B7" w:rsidRPr="00FC4ACA" w:rsidRDefault="009551B7" w:rsidP="009204C5">
      <w:pPr>
        <w:jc w:val="both"/>
        <w:rPr>
          <w:rFonts w:ascii="Times New Roman" w:hAnsi="Times New Roman" w:cs="Times New Roman"/>
          <w:sz w:val="22"/>
          <w:szCs w:val="22"/>
        </w:rPr>
      </w:pPr>
      <w:r w:rsidRPr="00FC4ACA">
        <w:rPr>
          <w:rFonts w:ascii="Times New Roman" w:hAnsi="Times New Roman" w:cs="Times New Roman"/>
          <w:sz w:val="22"/>
          <w:szCs w:val="22"/>
        </w:rPr>
        <w:t>Defterlerin usulüne uygun tutulmaması, kayıtların zamanında işlenmemesi veya geriye dönük değiştirilmesi ağır yaptırımlar doğurmaktadır.</w:t>
      </w:r>
    </w:p>
    <w:p w14:paraId="4A9AE5CF" w14:textId="636093C1" w:rsidR="009551B7" w:rsidRPr="00FC4ACA" w:rsidRDefault="009551B7" w:rsidP="009204C5">
      <w:pPr>
        <w:jc w:val="both"/>
        <w:rPr>
          <w:rFonts w:ascii="Times New Roman" w:hAnsi="Times New Roman" w:cs="Times New Roman"/>
          <w:sz w:val="22"/>
          <w:szCs w:val="22"/>
        </w:rPr>
      </w:pPr>
      <w:r w:rsidRPr="00FC4ACA">
        <w:rPr>
          <w:rFonts w:ascii="Times New Roman" w:hAnsi="Times New Roman" w:cs="Times New Roman"/>
          <w:sz w:val="22"/>
          <w:szCs w:val="22"/>
        </w:rPr>
        <w:lastRenderedPageBreak/>
        <w:t xml:space="preserve">Bu tür </w:t>
      </w:r>
      <w:proofErr w:type="gramStart"/>
      <w:r w:rsidRPr="00FC4ACA">
        <w:rPr>
          <w:rFonts w:ascii="Times New Roman" w:hAnsi="Times New Roman" w:cs="Times New Roman"/>
          <w:sz w:val="22"/>
          <w:szCs w:val="22"/>
        </w:rPr>
        <w:t>hatalar,</w:t>
      </w:r>
      <w:proofErr w:type="gramEnd"/>
      <w:r w:rsidRPr="00FC4ACA">
        <w:rPr>
          <w:rFonts w:ascii="Times New Roman" w:hAnsi="Times New Roman" w:cs="Times New Roman"/>
          <w:sz w:val="22"/>
          <w:szCs w:val="22"/>
        </w:rPr>
        <w:t xml:space="preserve"> hem vergi </w:t>
      </w:r>
      <w:proofErr w:type="spellStart"/>
      <w:r w:rsidRPr="00FC4ACA">
        <w:rPr>
          <w:rFonts w:ascii="Times New Roman" w:hAnsi="Times New Roman" w:cs="Times New Roman"/>
          <w:sz w:val="22"/>
          <w:szCs w:val="22"/>
        </w:rPr>
        <w:t>ziyaı</w:t>
      </w:r>
      <w:proofErr w:type="spellEnd"/>
      <w:r w:rsidRPr="00FC4ACA">
        <w:rPr>
          <w:rFonts w:ascii="Times New Roman" w:hAnsi="Times New Roman" w:cs="Times New Roman"/>
          <w:sz w:val="22"/>
          <w:szCs w:val="22"/>
        </w:rPr>
        <w:t xml:space="preserve"> cezasına hem de özel usulsüzlük cezalarına neden olmaktadır. Sağlam bir muhasebe altyapısı bu risklerin önüne geçen en önemli unsurdur.</w:t>
      </w:r>
    </w:p>
    <w:p w14:paraId="44F57641" w14:textId="72520ACE" w:rsidR="009551B7" w:rsidRPr="00FC4ACA" w:rsidRDefault="009551B7" w:rsidP="009204C5">
      <w:pPr>
        <w:jc w:val="both"/>
        <w:rPr>
          <w:rFonts w:ascii="Times New Roman" w:hAnsi="Times New Roman" w:cs="Times New Roman"/>
          <w:b/>
          <w:bCs/>
          <w:sz w:val="22"/>
          <w:szCs w:val="22"/>
        </w:rPr>
      </w:pPr>
      <w:r w:rsidRPr="00FC4ACA">
        <w:rPr>
          <w:rFonts w:ascii="Times New Roman" w:hAnsi="Times New Roman" w:cs="Times New Roman"/>
          <w:b/>
          <w:bCs/>
          <w:sz w:val="22"/>
          <w:szCs w:val="22"/>
        </w:rPr>
        <w:t>Sonuç</w:t>
      </w:r>
    </w:p>
    <w:p w14:paraId="35D39AF3" w14:textId="4A87B489" w:rsidR="009551B7" w:rsidRPr="00FC4ACA" w:rsidRDefault="009551B7" w:rsidP="009204C5">
      <w:pPr>
        <w:jc w:val="both"/>
        <w:rPr>
          <w:rFonts w:ascii="Times New Roman" w:hAnsi="Times New Roman" w:cs="Times New Roman"/>
          <w:sz w:val="22"/>
          <w:szCs w:val="22"/>
        </w:rPr>
      </w:pPr>
      <w:r w:rsidRPr="00FC4ACA">
        <w:rPr>
          <w:rFonts w:ascii="Times New Roman" w:hAnsi="Times New Roman" w:cs="Times New Roman"/>
          <w:sz w:val="22"/>
          <w:szCs w:val="22"/>
        </w:rPr>
        <w:t>Vergisel hatalar çoğu zaman küçük bir ihmalin sonucunda ortaya çıkmaktadır. Ancak sonuçları finansal açıdan ağır ve uzun vadeli olabilmektedir.</w:t>
      </w:r>
    </w:p>
    <w:p w14:paraId="2B0ACF6C" w14:textId="5583EC03" w:rsidR="009551B7" w:rsidRPr="00FC4ACA" w:rsidRDefault="009551B7" w:rsidP="009204C5">
      <w:pPr>
        <w:jc w:val="both"/>
        <w:rPr>
          <w:rFonts w:ascii="Times New Roman" w:hAnsi="Times New Roman" w:cs="Times New Roman"/>
          <w:sz w:val="22"/>
          <w:szCs w:val="22"/>
        </w:rPr>
      </w:pPr>
      <w:r w:rsidRPr="00FC4ACA">
        <w:rPr>
          <w:rFonts w:ascii="Times New Roman" w:hAnsi="Times New Roman" w:cs="Times New Roman"/>
          <w:sz w:val="22"/>
          <w:szCs w:val="22"/>
        </w:rPr>
        <w:t>Düzenli kontrol, güncel mevzuat takibi ve profesyonel bir denetim yaklaşımı, işletmeleri bu risklerden koruyan güçlü bir mekanizmadır.</w:t>
      </w:r>
    </w:p>
    <w:p w14:paraId="7DC0FD62" w14:textId="58C42033" w:rsidR="0017403F" w:rsidRPr="00FC4ACA" w:rsidRDefault="009551B7" w:rsidP="009204C5">
      <w:pPr>
        <w:jc w:val="both"/>
        <w:rPr>
          <w:rFonts w:ascii="Times New Roman" w:hAnsi="Times New Roman" w:cs="Times New Roman"/>
          <w:sz w:val="22"/>
          <w:szCs w:val="22"/>
        </w:rPr>
      </w:pPr>
      <w:r w:rsidRPr="00FC4ACA">
        <w:rPr>
          <w:rFonts w:ascii="Times New Roman" w:hAnsi="Times New Roman" w:cs="Times New Roman"/>
          <w:sz w:val="22"/>
          <w:szCs w:val="22"/>
        </w:rPr>
        <w:t>Vergi Hukuku Serisi’nin bu bölümü, işletmelerin sık karşılaştığı risk alanlarına ışık tutmaktadır.</w:t>
      </w:r>
    </w:p>
    <w:p w14:paraId="6FC58ED6" w14:textId="77777777" w:rsidR="0017403F" w:rsidRPr="00FC4ACA" w:rsidRDefault="0017403F" w:rsidP="009204C5">
      <w:pPr>
        <w:jc w:val="both"/>
        <w:rPr>
          <w:rFonts w:ascii="Times New Roman" w:hAnsi="Times New Roman" w:cs="Times New Roman"/>
          <w:sz w:val="22"/>
          <w:szCs w:val="22"/>
        </w:rPr>
      </w:pPr>
    </w:p>
    <w:p w14:paraId="090599DD" w14:textId="76DF7327" w:rsidR="0017403F" w:rsidRPr="00E0580E" w:rsidRDefault="00E0580E" w:rsidP="00E0580E">
      <w:pPr>
        <w:jc w:val="right"/>
        <w:rPr>
          <w:rFonts w:ascii="Times New Roman" w:hAnsi="Times New Roman" w:cs="Times New Roman"/>
          <w:b/>
          <w:bCs/>
          <w:sz w:val="22"/>
          <w:szCs w:val="22"/>
        </w:rPr>
      </w:pPr>
      <w:r w:rsidRPr="00E0580E">
        <w:rPr>
          <w:rFonts w:ascii="Times New Roman" w:hAnsi="Times New Roman" w:cs="Times New Roman"/>
          <w:b/>
          <w:bCs/>
          <w:sz w:val="22"/>
          <w:szCs w:val="22"/>
        </w:rPr>
        <w:t>OCAK 2025</w:t>
      </w:r>
    </w:p>
    <w:p w14:paraId="36EC58FA" w14:textId="77777777" w:rsidR="0017403F" w:rsidRPr="00FC4ACA" w:rsidRDefault="0017403F" w:rsidP="009204C5">
      <w:pPr>
        <w:numPr>
          <w:ilvl w:val="0"/>
          <w:numId w:val="1"/>
        </w:numPr>
        <w:jc w:val="both"/>
        <w:rPr>
          <w:rFonts w:ascii="Times New Roman" w:hAnsi="Times New Roman" w:cs="Times New Roman"/>
          <w:b/>
          <w:bCs/>
          <w:sz w:val="22"/>
          <w:szCs w:val="22"/>
        </w:rPr>
      </w:pPr>
      <w:r w:rsidRPr="00FC4ACA">
        <w:rPr>
          <w:rFonts w:ascii="Times New Roman" w:hAnsi="Times New Roman" w:cs="Times New Roman"/>
          <w:b/>
          <w:bCs/>
          <w:sz w:val="22"/>
          <w:szCs w:val="22"/>
        </w:rPr>
        <w:t>VERGİ HUKUKU SERİSİ #4 – ŞİRKETLER VERGİYLE İLGİLİ HANGİ YANILGILARA DÜŞÜYOR?</w:t>
      </w:r>
    </w:p>
    <w:p w14:paraId="241E304F" w14:textId="77777777" w:rsidR="0017403F" w:rsidRPr="00FC4ACA" w:rsidRDefault="0017403F" w:rsidP="009204C5">
      <w:pPr>
        <w:jc w:val="both"/>
        <w:rPr>
          <w:rFonts w:ascii="Times New Roman" w:hAnsi="Times New Roman" w:cs="Times New Roman"/>
          <w:sz w:val="22"/>
          <w:szCs w:val="22"/>
        </w:rPr>
      </w:pPr>
    </w:p>
    <w:p w14:paraId="35301719"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Vergi yükümlülükleri, ticari faaliyetin doğal bir parçasıdır.</w:t>
      </w:r>
    </w:p>
    <w:p w14:paraId="10F2F01A"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Ancak uygulamada birçok şirket, bazı yanlış kabuller nedeniyle riskli bir zeminde ilerlemektedir.</w:t>
      </w:r>
    </w:p>
    <w:p w14:paraId="52F1DD00"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Bu yanılgılar, çoğu zaman fark edilmeyen küçük aksaklıkların büyüyerek ciddi sonuç doğurmasına neden olmaktadır.</w:t>
      </w:r>
    </w:p>
    <w:p w14:paraId="6CCC64DE" w14:textId="0B8E5403"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Bu bölümde, sahada en sık karşılaşılan üç temel yanılgıyı ele almaktayız.</w:t>
      </w:r>
    </w:p>
    <w:p w14:paraId="3542EEFF" w14:textId="77777777" w:rsidR="009204C5" w:rsidRPr="00FC4ACA" w:rsidRDefault="009204C5" w:rsidP="009204C5">
      <w:pPr>
        <w:jc w:val="both"/>
        <w:rPr>
          <w:rFonts w:ascii="Times New Roman" w:hAnsi="Times New Roman" w:cs="Times New Roman"/>
          <w:sz w:val="22"/>
          <w:szCs w:val="22"/>
        </w:rPr>
      </w:pPr>
    </w:p>
    <w:p w14:paraId="78467E8C"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b/>
          <w:bCs/>
          <w:sz w:val="22"/>
          <w:szCs w:val="22"/>
        </w:rPr>
        <w:t>“Bunu herkes yapıyor” yanılgısı</w:t>
      </w:r>
    </w:p>
    <w:p w14:paraId="4371C243"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Bu düşünce, vergi hatalarının en yaygın sebeplerinden biridir.</w:t>
      </w:r>
    </w:p>
    <w:p w14:paraId="7E36527D"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Bir uygulamanın sektör içinde sık görülmesi, hukuki açıdan kabul edilebilir olduğu anlamına gelmemektedir.</w:t>
      </w:r>
    </w:p>
    <w:p w14:paraId="05077090"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Vergi otoritesi, benzer davranışların yaygınlığından bağımsız şekilde her şirketi ayrı değerlendirmektedir.</w:t>
      </w:r>
    </w:p>
    <w:p w14:paraId="0975EE33"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Bu nedenle alışkanlık hâline gelmiş uygulamalar dahi kontrol edilmediğinde önemli risk doğurmaktadır.</w:t>
      </w:r>
    </w:p>
    <w:p w14:paraId="0631833B" w14:textId="77777777" w:rsidR="009204C5" w:rsidRPr="00FC4ACA" w:rsidRDefault="009204C5" w:rsidP="009204C5">
      <w:pPr>
        <w:jc w:val="both"/>
        <w:rPr>
          <w:rFonts w:ascii="Times New Roman" w:hAnsi="Times New Roman" w:cs="Times New Roman"/>
          <w:sz w:val="22"/>
          <w:szCs w:val="22"/>
        </w:rPr>
      </w:pPr>
    </w:p>
    <w:p w14:paraId="09E54A79"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b/>
          <w:bCs/>
          <w:sz w:val="22"/>
          <w:szCs w:val="22"/>
        </w:rPr>
        <w:t>“Bu işlemden bir şey çıkmaz” düşüncesi</w:t>
      </w:r>
    </w:p>
    <w:p w14:paraId="3C66C898"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Bazı işlemlerin küçük tutarlı olması veya basit görünmesi hataya zemin hazırlamaktadır.</w:t>
      </w:r>
    </w:p>
    <w:p w14:paraId="4E2A3161"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Küçük bir belgelendirme eksikliği, yanlış kayıt veya hatalı beyan, inceleme süreçlerinde büyük etkiler yaratabilmektedir.</w:t>
      </w:r>
    </w:p>
    <w:p w14:paraId="43B53EFD"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Vergi incelemelerinde işlemler tek tek ele alınmakta ve her unsur kendi içinde değerlendirilmektedir.</w:t>
      </w:r>
    </w:p>
    <w:p w14:paraId="1B3E4734"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Bu nedenle etkisi düşük gibi görünen adımlar bile doğru yönetilmediğinde ciddi sonuç doğurmaktadır.</w:t>
      </w:r>
    </w:p>
    <w:p w14:paraId="3F3E60D2" w14:textId="77777777" w:rsidR="0017403F" w:rsidRPr="00FC4ACA" w:rsidRDefault="0017403F" w:rsidP="009204C5">
      <w:pPr>
        <w:jc w:val="both"/>
        <w:rPr>
          <w:rFonts w:ascii="Times New Roman" w:hAnsi="Times New Roman" w:cs="Times New Roman"/>
          <w:sz w:val="22"/>
          <w:szCs w:val="22"/>
        </w:rPr>
      </w:pPr>
    </w:p>
    <w:p w14:paraId="57152457"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b/>
          <w:bCs/>
          <w:sz w:val="22"/>
          <w:szCs w:val="22"/>
        </w:rPr>
        <w:lastRenderedPageBreak/>
        <w:t>“Biz küçük ölçekliyiz, bize sorun gelmez” algısı</w:t>
      </w:r>
    </w:p>
    <w:p w14:paraId="61200574"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Şirket büyüklüğü, vergi yükümlülüklerinin kapsamını değiştirmemektedir.</w:t>
      </w:r>
    </w:p>
    <w:p w14:paraId="247E29E7"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Küçük ölçekli yapıların da aynı mevzuata tabi olduğu gerçeği göz ardı edildiğinde risk seviyesi artmaktadır.</w:t>
      </w:r>
    </w:p>
    <w:p w14:paraId="171A58F0"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Denetim süreçleri yalnızca büyük şirketlerle sınırlı olmayıp tüm vergi mükelleflerini kapsayabilmektedir.</w:t>
      </w:r>
    </w:p>
    <w:p w14:paraId="68D2B6BE"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Bu nedenle ölçek farkı ne olursa olsun, vergi uyumunun titizlikle sağlanması gereklidir.</w:t>
      </w:r>
    </w:p>
    <w:p w14:paraId="76B982C4" w14:textId="77777777" w:rsidR="0017403F" w:rsidRPr="00FC4ACA" w:rsidRDefault="0017403F" w:rsidP="009204C5">
      <w:pPr>
        <w:jc w:val="both"/>
        <w:rPr>
          <w:rFonts w:ascii="Times New Roman" w:hAnsi="Times New Roman" w:cs="Times New Roman"/>
          <w:sz w:val="22"/>
          <w:szCs w:val="22"/>
        </w:rPr>
      </w:pPr>
    </w:p>
    <w:p w14:paraId="45DAA10C"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b/>
          <w:bCs/>
          <w:sz w:val="22"/>
          <w:szCs w:val="22"/>
        </w:rPr>
        <w:t>Kısa Değerlendirme</w:t>
      </w:r>
    </w:p>
    <w:p w14:paraId="6F612F56"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Vergi uyumunun güçlü bir zemine oturması, işletmelerin karar alma biçimlerinin ne kadar sağlıklı ilerlediğiyle doğrudan ilişkilidir.</w:t>
      </w:r>
    </w:p>
    <w:p w14:paraId="7E61D83F"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Algıya göre şekillenen tercihler arttığında, düzenli mali yapılar bile denetim sürecinde zayıf noktalara dönüşebilir.</w:t>
      </w:r>
    </w:p>
    <w:p w14:paraId="0AB1D935"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Gerçeği esas alan bir değerlendirme düzeni benimsendiğinde ise riskler daha erken görünür ve şeffaflık kültürü vergi güvenliğini kurumsal bir standart hâline getirir.</w:t>
      </w:r>
    </w:p>
    <w:p w14:paraId="63E68484" w14:textId="77777777" w:rsidR="0017403F" w:rsidRPr="00FC4ACA" w:rsidRDefault="0017403F" w:rsidP="009204C5">
      <w:pPr>
        <w:jc w:val="both"/>
        <w:rPr>
          <w:rFonts w:ascii="Times New Roman" w:hAnsi="Times New Roman" w:cs="Times New Roman"/>
          <w:sz w:val="22"/>
          <w:szCs w:val="22"/>
        </w:rPr>
      </w:pPr>
      <w:r w:rsidRPr="00FC4ACA">
        <w:rPr>
          <w:rFonts w:ascii="Times New Roman" w:hAnsi="Times New Roman" w:cs="Times New Roman"/>
          <w:sz w:val="22"/>
          <w:szCs w:val="22"/>
        </w:rPr>
        <w:t>Uyum süreçlerine yönelik hukuki destek için bizimle iletişime geçebilirsiniz.</w:t>
      </w:r>
    </w:p>
    <w:p w14:paraId="1D76B9FC" w14:textId="77777777" w:rsidR="0017403F" w:rsidRDefault="0017403F" w:rsidP="009204C5">
      <w:pPr>
        <w:jc w:val="both"/>
        <w:rPr>
          <w:rFonts w:ascii="Times New Roman" w:hAnsi="Times New Roman" w:cs="Times New Roman"/>
          <w:sz w:val="22"/>
          <w:szCs w:val="22"/>
        </w:rPr>
      </w:pPr>
    </w:p>
    <w:p w14:paraId="2DC7DB5A" w14:textId="69687A98" w:rsidR="00B9403B" w:rsidRPr="00B9403B" w:rsidRDefault="00B9403B" w:rsidP="00B9403B">
      <w:pPr>
        <w:jc w:val="right"/>
        <w:rPr>
          <w:rFonts w:ascii="Times New Roman" w:hAnsi="Times New Roman" w:cs="Times New Roman"/>
          <w:b/>
          <w:bCs/>
          <w:sz w:val="22"/>
          <w:szCs w:val="22"/>
        </w:rPr>
      </w:pPr>
      <w:r w:rsidRPr="00B9403B">
        <w:rPr>
          <w:rFonts w:ascii="Times New Roman" w:hAnsi="Times New Roman" w:cs="Times New Roman"/>
          <w:b/>
          <w:bCs/>
          <w:sz w:val="22"/>
          <w:szCs w:val="22"/>
        </w:rPr>
        <w:t>EKİM 2025</w:t>
      </w:r>
    </w:p>
    <w:p w14:paraId="6EC9BFF3" w14:textId="77777777" w:rsidR="0017403F" w:rsidRPr="00FC4ACA" w:rsidRDefault="0017403F" w:rsidP="009204C5">
      <w:pPr>
        <w:numPr>
          <w:ilvl w:val="0"/>
          <w:numId w:val="1"/>
        </w:numPr>
        <w:jc w:val="both"/>
        <w:rPr>
          <w:rFonts w:ascii="Times New Roman" w:hAnsi="Times New Roman" w:cs="Times New Roman"/>
          <w:b/>
          <w:bCs/>
          <w:sz w:val="22"/>
          <w:szCs w:val="22"/>
        </w:rPr>
      </w:pPr>
      <w:r w:rsidRPr="00FC4ACA">
        <w:rPr>
          <w:rFonts w:ascii="Times New Roman" w:hAnsi="Times New Roman" w:cs="Times New Roman"/>
          <w:b/>
          <w:bCs/>
          <w:sz w:val="22"/>
          <w:szCs w:val="22"/>
        </w:rPr>
        <w:t>İHRACAT YAPAN ŞİRKETLER İÇİN VERGİ TEŞVİKLERİ</w:t>
      </w:r>
    </w:p>
    <w:p w14:paraId="2F26985E" w14:textId="10A62315" w:rsidR="009204C5" w:rsidRPr="00FC4ACA" w:rsidRDefault="00CE5C72" w:rsidP="009204C5">
      <w:pPr>
        <w:jc w:val="both"/>
        <w:rPr>
          <w:rFonts w:ascii="Times New Roman" w:hAnsi="Times New Roman" w:cs="Times New Roman"/>
          <w:sz w:val="22"/>
          <w:szCs w:val="22"/>
        </w:rPr>
      </w:pPr>
      <w:r w:rsidRPr="00FC4ACA">
        <w:rPr>
          <w:rFonts w:ascii="Times New Roman" w:hAnsi="Times New Roman" w:cs="Times New Roman"/>
          <w:sz w:val="22"/>
          <w:szCs w:val="22"/>
        </w:rPr>
        <w:t>İhracat, Türkiye ekonomisinin büyümesinde ve dış ticaret dengesinin korunmasında kilit rol oynar. Bu nedenle, ihracat yapan işletmelerin faaliyetlerini desteklemek üzere çeşitli yasal düzenlemelerle vergisel kolaylıklar ve teşvikler sağlanmıştır. Bu düzenlemeler farklı kanunlarda yer almakta olup, vergi istisnalarından gümrük muafiyetlerine kadar geniş bir alanı kapsar. Aşağıda bu teşviklerin bazıları, ilgili mevzuat hükümleri çerçevesinde özetlenmiştir.</w:t>
      </w:r>
    </w:p>
    <w:p w14:paraId="7DFC10D0" w14:textId="77777777" w:rsidR="00CE5C72" w:rsidRPr="00FC4ACA" w:rsidRDefault="00CE5C72" w:rsidP="009204C5">
      <w:pPr>
        <w:jc w:val="both"/>
        <w:rPr>
          <w:rFonts w:ascii="Times New Roman" w:hAnsi="Times New Roman" w:cs="Times New Roman"/>
          <w:b/>
          <w:bCs/>
          <w:sz w:val="22"/>
          <w:szCs w:val="22"/>
        </w:rPr>
      </w:pPr>
      <w:r w:rsidRPr="00FC4ACA">
        <w:rPr>
          <w:rFonts w:ascii="Times New Roman" w:hAnsi="Times New Roman" w:cs="Times New Roman"/>
          <w:b/>
          <w:bCs/>
          <w:sz w:val="22"/>
          <w:szCs w:val="22"/>
        </w:rPr>
        <w:t>1. Katma Değer Vergisi (KDV) İstisnası</w:t>
      </w:r>
    </w:p>
    <w:p w14:paraId="4A1DF492" w14:textId="77777777" w:rsidR="00CE5C72" w:rsidRPr="00FC4ACA" w:rsidRDefault="00CE5C72" w:rsidP="009204C5">
      <w:pPr>
        <w:jc w:val="both"/>
        <w:rPr>
          <w:rFonts w:ascii="Times New Roman" w:hAnsi="Times New Roman" w:cs="Times New Roman"/>
          <w:sz w:val="22"/>
          <w:szCs w:val="22"/>
        </w:rPr>
      </w:pPr>
      <w:r w:rsidRPr="00FC4ACA">
        <w:rPr>
          <w:rFonts w:ascii="Times New Roman" w:hAnsi="Times New Roman" w:cs="Times New Roman"/>
          <w:sz w:val="22"/>
          <w:szCs w:val="22"/>
        </w:rPr>
        <w:t>Katma Değer Vergisi Kanunu ihracatçılara en kapsamlı avantajlardan birini sunar. Kanunun 11. ve 12. maddeleri, ihracat teslimleri ile bu teslimlere ilişkin hizmetleri KDV’den istisna tutar. Bu istisna, Türkiye’den yurt dışına gönderilen malların yanı sıra, kanunda belirtilen şartları taşıyan hizmet teslimleri için de geçerlidir.</w:t>
      </w:r>
    </w:p>
    <w:p w14:paraId="7A3C6C5D" w14:textId="77777777" w:rsidR="00CE5C72" w:rsidRPr="00FC4ACA" w:rsidRDefault="00CE5C72" w:rsidP="009204C5">
      <w:pPr>
        <w:jc w:val="both"/>
        <w:rPr>
          <w:rFonts w:ascii="Times New Roman" w:hAnsi="Times New Roman" w:cs="Times New Roman"/>
          <w:sz w:val="22"/>
          <w:szCs w:val="22"/>
        </w:rPr>
      </w:pPr>
      <w:r w:rsidRPr="00FC4ACA">
        <w:rPr>
          <w:rFonts w:ascii="Times New Roman" w:hAnsi="Times New Roman" w:cs="Times New Roman"/>
          <w:sz w:val="22"/>
          <w:szCs w:val="22"/>
        </w:rPr>
        <w:t>Katma Değer Vergisi Kanunu’nun 32. maddesine göre, istisna kapsamındaki işlemler nedeniyle yüklenilen vergiler, vergiye tabi işlemler üzerinden hesaplanan KDV’den indirilir; bu indirimle giderilemeyen vergiler mükellefe iade olunur. Aynı Kanun’un 33. maddesi uyarınca, iade uygulamasına ve ibraz edilecek belgelere ilişkin usul ve esaslar Maliye Bakanlığı tarafından belirlenir.</w:t>
      </w:r>
    </w:p>
    <w:p w14:paraId="7B161821" w14:textId="77777777" w:rsidR="00CE5C72" w:rsidRPr="00FC4ACA" w:rsidRDefault="00CE5C72" w:rsidP="009204C5">
      <w:pPr>
        <w:jc w:val="both"/>
        <w:rPr>
          <w:rFonts w:ascii="Times New Roman" w:hAnsi="Times New Roman" w:cs="Times New Roman"/>
          <w:sz w:val="22"/>
          <w:szCs w:val="22"/>
        </w:rPr>
      </w:pPr>
      <w:r w:rsidRPr="00FC4ACA">
        <w:rPr>
          <w:rFonts w:ascii="Times New Roman" w:hAnsi="Times New Roman" w:cs="Times New Roman"/>
          <w:sz w:val="22"/>
          <w:szCs w:val="22"/>
        </w:rPr>
        <w:t>Ayrıca m.15, ihracatçılara mal ve hizmet tedarik edenlerin de belirli koşullarda KDV istisnasından yararlanabileceğini düzenler. m.30/d hükmü ise ihracat istisnası kapsamında yüklenilen KDV’nin indirimine olanak tanır. Bu hükümler, ihracat işlemlerinin KDV yönünden vergilendirme dışında tutulmasını sağlar.</w:t>
      </w:r>
    </w:p>
    <w:p w14:paraId="19A89D02" w14:textId="77777777" w:rsidR="00CE5C72" w:rsidRPr="00FC4ACA" w:rsidRDefault="00CE5C72" w:rsidP="009204C5">
      <w:pPr>
        <w:jc w:val="both"/>
        <w:rPr>
          <w:rFonts w:ascii="Times New Roman" w:hAnsi="Times New Roman" w:cs="Times New Roman"/>
          <w:b/>
          <w:bCs/>
          <w:sz w:val="22"/>
          <w:szCs w:val="22"/>
        </w:rPr>
      </w:pPr>
      <w:r w:rsidRPr="00FC4ACA">
        <w:rPr>
          <w:rFonts w:ascii="Times New Roman" w:hAnsi="Times New Roman" w:cs="Times New Roman"/>
          <w:b/>
          <w:bCs/>
          <w:sz w:val="22"/>
          <w:szCs w:val="22"/>
        </w:rPr>
        <w:t>2. Kurumlar Vergisinde İhracat Kazançlarına İndirim</w:t>
      </w:r>
    </w:p>
    <w:p w14:paraId="749C024E" w14:textId="77777777" w:rsidR="00CE5C72" w:rsidRPr="00FC4ACA" w:rsidRDefault="00CE5C72" w:rsidP="009204C5">
      <w:pPr>
        <w:jc w:val="both"/>
        <w:rPr>
          <w:rFonts w:ascii="Times New Roman" w:hAnsi="Times New Roman" w:cs="Times New Roman"/>
          <w:sz w:val="22"/>
          <w:szCs w:val="22"/>
        </w:rPr>
      </w:pPr>
      <w:r w:rsidRPr="00FC4ACA">
        <w:rPr>
          <w:rFonts w:ascii="Times New Roman" w:hAnsi="Times New Roman" w:cs="Times New Roman"/>
          <w:sz w:val="22"/>
          <w:szCs w:val="22"/>
        </w:rPr>
        <w:lastRenderedPageBreak/>
        <w:t>Kurumlar Vergisi Kanunu’nun 32. maddesi, ihracat yapan kurumlara kazançları üzerinden vergi indirimi imkânı tanır. Maddenin yedinci fıkrası uyarınca, münhasıran ihracat faaliyetiyle elde edilen kazançlara uygulanacak kurumlar vergisi oranı, geçerli orandan 5 puan indirimli olarak belirlenir. Bu indirim, ihracatın doğrudan mükellef tarafından yapılması veya dış ticaret sermaye şirketleri ile sektörel dış ticaret şirketleri aracılığıyla gerçekleştirilmesi hâlinde de geçerlidir. Ayrıca aynı Kanun’un 32/A maddesi, yatırım teşvik belgesi kapsamında yapılan yatırımlardan elde edilen kazançlarda, Cumhurbaşkanınca belirlenen oranlarda indirimli kurumlar vergisi uygulanabileceğini düzenler.</w:t>
      </w:r>
    </w:p>
    <w:p w14:paraId="20116D76" w14:textId="76B00D3C" w:rsidR="00CE5C72" w:rsidRPr="00FC4ACA" w:rsidRDefault="00CE5C72" w:rsidP="009204C5">
      <w:pPr>
        <w:jc w:val="both"/>
        <w:rPr>
          <w:rFonts w:ascii="Times New Roman" w:hAnsi="Times New Roman" w:cs="Times New Roman"/>
          <w:sz w:val="22"/>
          <w:szCs w:val="22"/>
        </w:rPr>
      </w:pPr>
      <w:r w:rsidRPr="00FC4ACA">
        <w:rPr>
          <w:rFonts w:ascii="Times New Roman" w:hAnsi="Times New Roman" w:cs="Times New Roman"/>
          <w:sz w:val="22"/>
          <w:szCs w:val="22"/>
        </w:rPr>
        <w:t>Kurumlar Vergisi Kanunu’nun 33. maddesi ise yurt dışında elde edilen kazançlar üzerinden ödenen vergilerin, Türkiye’de hesaplanan kurumlar vergisinden mahsup edilmesine imkân tanır. Bu hüküm gereği, yurt dışında ödenen vergi tutarı, aynı kazanç üzerinden Türkiye’de hesaplanacak kurumlar vergisini aşmamak kaydıyla düşülebilir. Böylece, ihracat yapan veya yurt dışı faaliyetlerden gelir elde eden kurumların çifte vergilendirilmesi önlenir ve uluslararası işlemlerde vergi yükü dengelenmiş olur.</w:t>
      </w:r>
    </w:p>
    <w:p w14:paraId="57A11CE9" w14:textId="77777777" w:rsidR="00CE5C72" w:rsidRPr="00FC4ACA" w:rsidRDefault="00CE5C72" w:rsidP="009204C5">
      <w:pPr>
        <w:jc w:val="both"/>
        <w:rPr>
          <w:rFonts w:ascii="Times New Roman" w:hAnsi="Times New Roman" w:cs="Times New Roman"/>
          <w:b/>
          <w:bCs/>
          <w:sz w:val="22"/>
          <w:szCs w:val="22"/>
        </w:rPr>
      </w:pPr>
      <w:r w:rsidRPr="00FC4ACA">
        <w:rPr>
          <w:rFonts w:ascii="Times New Roman" w:hAnsi="Times New Roman" w:cs="Times New Roman"/>
          <w:b/>
          <w:bCs/>
          <w:sz w:val="22"/>
          <w:szCs w:val="22"/>
        </w:rPr>
        <w:t>3. Gerçek Kişi İhracatçılar İçin Gelir Vergisi İndirimi</w:t>
      </w:r>
    </w:p>
    <w:p w14:paraId="5ADEF6B4" w14:textId="77777777" w:rsidR="00CE5C72" w:rsidRPr="00FC4ACA" w:rsidRDefault="00CE5C72" w:rsidP="009204C5">
      <w:pPr>
        <w:jc w:val="both"/>
        <w:rPr>
          <w:rFonts w:ascii="Times New Roman" w:hAnsi="Times New Roman" w:cs="Times New Roman"/>
          <w:sz w:val="22"/>
          <w:szCs w:val="22"/>
        </w:rPr>
      </w:pPr>
      <w:r w:rsidRPr="00FC4ACA">
        <w:rPr>
          <w:rFonts w:ascii="Times New Roman" w:hAnsi="Times New Roman" w:cs="Times New Roman"/>
          <w:sz w:val="22"/>
          <w:szCs w:val="22"/>
        </w:rPr>
        <w:t>Gelir Vergisi Kanunu’nun 89. maddesinin on altıncı bendi, tam mükellef gerçek kişilerin elektronik ticaret gümrük beyannamesiyle gerçekleştirdikleri mal ihracatından elde ettikleri kazancın %50’sinin gelir vergisinden indirilebileceğini düzenler. Bu hüküm, küçük ölçekli ihracat yapan bireylerin ve e-ticaret yoluyla yurt dışına ürün satan girişimcilerin vergi yükünü hafifletmeyi amaçlar.</w:t>
      </w:r>
    </w:p>
    <w:p w14:paraId="36AB2BFC" w14:textId="77777777" w:rsidR="00CE5C72" w:rsidRPr="00FC4ACA" w:rsidRDefault="00CE5C72" w:rsidP="009204C5">
      <w:pPr>
        <w:jc w:val="both"/>
        <w:rPr>
          <w:rFonts w:ascii="Times New Roman" w:hAnsi="Times New Roman" w:cs="Times New Roman"/>
          <w:sz w:val="22"/>
          <w:szCs w:val="22"/>
        </w:rPr>
      </w:pPr>
      <w:r w:rsidRPr="00FC4ACA">
        <w:rPr>
          <w:rFonts w:ascii="Times New Roman" w:hAnsi="Times New Roman" w:cs="Times New Roman"/>
          <w:sz w:val="22"/>
          <w:szCs w:val="22"/>
        </w:rPr>
        <w:t>İndirimden yararlanabilmek için ihracat gelirinin kanunda belirtilen şartlar kapsamında elde edilmesi ve faaliyetlerin mevzuata uygun şekilde yürütülmesi gerekir. Bu teşvik, mikro ihracat yapan gerçek kişilerin uluslararası pazarlara daha kolay erişmesine olanak tanıyan önemli bir vergisel destek mekanizmasıdır.</w:t>
      </w:r>
    </w:p>
    <w:p w14:paraId="5FC33F28" w14:textId="77777777" w:rsidR="00CE5C72" w:rsidRPr="00FC4ACA" w:rsidRDefault="00CE5C72" w:rsidP="009204C5">
      <w:pPr>
        <w:jc w:val="both"/>
        <w:rPr>
          <w:rFonts w:ascii="Times New Roman" w:hAnsi="Times New Roman" w:cs="Times New Roman"/>
          <w:b/>
          <w:bCs/>
          <w:sz w:val="22"/>
          <w:szCs w:val="22"/>
        </w:rPr>
      </w:pPr>
      <w:r w:rsidRPr="00FC4ACA">
        <w:rPr>
          <w:rFonts w:ascii="Times New Roman" w:hAnsi="Times New Roman" w:cs="Times New Roman"/>
          <w:b/>
          <w:bCs/>
          <w:sz w:val="22"/>
          <w:szCs w:val="22"/>
        </w:rPr>
        <w:t>4. Özel Tüketim Vergisi (ÖTV) İstisnası</w:t>
      </w:r>
    </w:p>
    <w:p w14:paraId="123B10A1" w14:textId="3C198074" w:rsidR="009204C5" w:rsidRPr="00FC4ACA" w:rsidRDefault="00CE5C72" w:rsidP="009204C5">
      <w:pPr>
        <w:jc w:val="both"/>
        <w:rPr>
          <w:rFonts w:ascii="Times New Roman" w:hAnsi="Times New Roman" w:cs="Times New Roman"/>
          <w:sz w:val="22"/>
          <w:szCs w:val="22"/>
        </w:rPr>
      </w:pPr>
      <w:r w:rsidRPr="00FC4ACA">
        <w:rPr>
          <w:rFonts w:ascii="Times New Roman" w:hAnsi="Times New Roman" w:cs="Times New Roman"/>
          <w:sz w:val="22"/>
          <w:szCs w:val="22"/>
        </w:rPr>
        <w:t>4760 sayılı Özel Tüketim Vergisi Kanunu’nun 5. maddesi, ihracat teslimlerinin belirli koşullar altında ÖTV’den istisna olduğunu düzenler. Buna göre, teslimin yurt dışındaki bir müşteriye yapılması ve malın fiilen Türkiye Cumhuriyeti Gümrük Bölgesinden çıkmış olması gerekir. İhraç edilmeden önce yapılan yurt içi teslimler veya serbest bölgelere yapılan satışlar ise ihracat sayılmaz. Ayrıca aynı maddeye göre, ihraç edilen mallar veya gümrüksüz satış mağazalarına yapılan teslimler nedeniyle beyan edilen özel tüketim vergisi ihracatçıya iade edilir. Bu hüküm, ihracatçıların üzerindeki vergi yükünü azaltarak uluslararası rekabette mali avantaj sağlamayı amaçlar.</w:t>
      </w:r>
    </w:p>
    <w:p w14:paraId="16BE5B90" w14:textId="77777777" w:rsidR="00CE5C72" w:rsidRPr="00FC4ACA" w:rsidRDefault="00CE5C72" w:rsidP="009204C5">
      <w:pPr>
        <w:jc w:val="both"/>
        <w:rPr>
          <w:rFonts w:ascii="Times New Roman" w:hAnsi="Times New Roman" w:cs="Times New Roman"/>
          <w:b/>
          <w:bCs/>
          <w:sz w:val="22"/>
          <w:szCs w:val="22"/>
        </w:rPr>
      </w:pPr>
      <w:r w:rsidRPr="00FC4ACA">
        <w:rPr>
          <w:rFonts w:ascii="Times New Roman" w:hAnsi="Times New Roman" w:cs="Times New Roman"/>
          <w:b/>
          <w:bCs/>
          <w:sz w:val="22"/>
          <w:szCs w:val="22"/>
        </w:rPr>
        <w:t>Genel Değerlendirme</w:t>
      </w:r>
    </w:p>
    <w:p w14:paraId="5A187D8E" w14:textId="1FCB590A" w:rsidR="00CE5C72" w:rsidRPr="00FC4ACA" w:rsidRDefault="00CE5C72" w:rsidP="009204C5">
      <w:pPr>
        <w:jc w:val="both"/>
        <w:rPr>
          <w:rFonts w:ascii="Times New Roman" w:hAnsi="Times New Roman" w:cs="Times New Roman"/>
          <w:sz w:val="22"/>
          <w:szCs w:val="22"/>
        </w:rPr>
      </w:pPr>
      <w:r w:rsidRPr="00FC4ACA">
        <w:rPr>
          <w:rFonts w:ascii="Times New Roman" w:hAnsi="Times New Roman" w:cs="Times New Roman"/>
          <w:sz w:val="22"/>
          <w:szCs w:val="22"/>
        </w:rPr>
        <w:t xml:space="preserve">İhracat yapan işletmeler için sağlanan vergi teşvikleri, şirketlerin maliyetlerini azaltarak rekabet gücünü artırmayı amaçlayan önemli bir destek mekanizmasıdır. Ancak her teşvik, belirli şartlara, kapsam ve süre sınırlamalarına tabidir. Bu nedenle ihracatçılar için en kritik nokta, hangi teşvikten ne ölçüde yararlanabileceklerini doğru anlamak ve başvuru süreçlerini hatasız yürütmektir. Vergisel avantajların yanlış uygulanması ya da eksik belgelenmesi durumunda geriye dönük yükümlülükler doğabileceğinden, işletmelerin bu süreçte uzman hukuki ve mali danışmanlık desteği </w:t>
      </w:r>
      <w:proofErr w:type="gramStart"/>
      <w:r w:rsidRPr="00FC4ACA">
        <w:rPr>
          <w:rFonts w:ascii="Times New Roman" w:hAnsi="Times New Roman" w:cs="Times New Roman"/>
          <w:sz w:val="22"/>
          <w:szCs w:val="22"/>
        </w:rPr>
        <w:t>alması,</w:t>
      </w:r>
      <w:proofErr w:type="gramEnd"/>
      <w:r w:rsidRPr="00FC4ACA">
        <w:rPr>
          <w:rFonts w:ascii="Times New Roman" w:hAnsi="Times New Roman" w:cs="Times New Roman"/>
          <w:sz w:val="22"/>
          <w:szCs w:val="22"/>
        </w:rPr>
        <w:t xml:space="preserve"> hem yasal uyumun sağlanması hem de teşviklerin en verimli şekilde kullanılabilmesi açısından büyük önem taşır.</w:t>
      </w:r>
    </w:p>
    <w:p w14:paraId="48C04EB0" w14:textId="77777777" w:rsidR="00CE5C72" w:rsidRPr="00FC4ACA" w:rsidRDefault="00CE5C72" w:rsidP="009204C5">
      <w:pPr>
        <w:jc w:val="both"/>
        <w:rPr>
          <w:rFonts w:ascii="Times New Roman" w:hAnsi="Times New Roman" w:cs="Times New Roman"/>
          <w:sz w:val="22"/>
          <w:szCs w:val="22"/>
        </w:rPr>
      </w:pPr>
    </w:p>
    <w:p w14:paraId="132091BD" w14:textId="77777777" w:rsidR="00CE5C72" w:rsidRPr="00FC4ACA" w:rsidRDefault="00CE5C72" w:rsidP="009204C5">
      <w:pPr>
        <w:jc w:val="both"/>
        <w:rPr>
          <w:rFonts w:ascii="Times New Roman" w:hAnsi="Times New Roman" w:cs="Times New Roman"/>
          <w:sz w:val="22"/>
          <w:szCs w:val="22"/>
        </w:rPr>
      </w:pPr>
    </w:p>
    <w:p w14:paraId="7680B1D3" w14:textId="77777777" w:rsidR="009204C5" w:rsidRPr="00FC4ACA" w:rsidRDefault="009204C5" w:rsidP="009204C5">
      <w:pPr>
        <w:jc w:val="both"/>
        <w:rPr>
          <w:rFonts w:ascii="Times New Roman" w:hAnsi="Times New Roman" w:cs="Times New Roman"/>
          <w:sz w:val="22"/>
          <w:szCs w:val="22"/>
        </w:rPr>
      </w:pPr>
    </w:p>
    <w:p w14:paraId="368C2283" w14:textId="77777777" w:rsidR="009204C5" w:rsidRPr="000875C7" w:rsidRDefault="009204C5" w:rsidP="009204C5">
      <w:pPr>
        <w:jc w:val="both"/>
        <w:rPr>
          <w:rFonts w:ascii="Times New Roman" w:hAnsi="Times New Roman" w:cs="Times New Roman"/>
          <w:b/>
          <w:bCs/>
          <w:sz w:val="22"/>
          <w:szCs w:val="22"/>
        </w:rPr>
      </w:pPr>
    </w:p>
    <w:p w14:paraId="6C307274" w14:textId="7B4D4172" w:rsidR="009204C5" w:rsidRPr="000875C7" w:rsidRDefault="000875C7" w:rsidP="000875C7">
      <w:pPr>
        <w:jc w:val="right"/>
        <w:rPr>
          <w:rFonts w:ascii="Times New Roman" w:hAnsi="Times New Roman" w:cs="Times New Roman"/>
          <w:b/>
          <w:bCs/>
          <w:sz w:val="22"/>
          <w:szCs w:val="22"/>
        </w:rPr>
      </w:pPr>
      <w:r w:rsidRPr="000875C7">
        <w:rPr>
          <w:rFonts w:ascii="Times New Roman" w:hAnsi="Times New Roman" w:cs="Times New Roman"/>
          <w:b/>
          <w:bCs/>
          <w:sz w:val="22"/>
          <w:szCs w:val="22"/>
        </w:rPr>
        <w:lastRenderedPageBreak/>
        <w:t>ARALIK 2025</w:t>
      </w:r>
    </w:p>
    <w:p w14:paraId="4CD5D173" w14:textId="77777777" w:rsidR="0017403F" w:rsidRPr="00FC4ACA" w:rsidRDefault="0017403F" w:rsidP="009204C5">
      <w:pPr>
        <w:numPr>
          <w:ilvl w:val="0"/>
          <w:numId w:val="1"/>
        </w:numPr>
        <w:jc w:val="both"/>
        <w:rPr>
          <w:rFonts w:ascii="Times New Roman" w:hAnsi="Times New Roman" w:cs="Times New Roman"/>
          <w:b/>
          <w:bCs/>
          <w:sz w:val="22"/>
          <w:szCs w:val="22"/>
        </w:rPr>
      </w:pPr>
      <w:r w:rsidRPr="00FC4ACA">
        <w:rPr>
          <w:rFonts w:ascii="Times New Roman" w:hAnsi="Times New Roman" w:cs="Times New Roman"/>
          <w:b/>
          <w:bCs/>
          <w:sz w:val="22"/>
          <w:szCs w:val="22"/>
        </w:rPr>
        <w:t>BİRLEŞME SONRASI VERGİSEL AVANTAJLAR NELERDİR?</w:t>
      </w:r>
    </w:p>
    <w:p w14:paraId="428A0F67" w14:textId="1375C8E9" w:rsidR="007F3019" w:rsidRPr="00FC4ACA" w:rsidRDefault="007F3019" w:rsidP="009204C5">
      <w:pPr>
        <w:jc w:val="both"/>
        <w:rPr>
          <w:rFonts w:ascii="Times New Roman" w:hAnsi="Times New Roman" w:cs="Times New Roman"/>
          <w:sz w:val="22"/>
          <w:szCs w:val="22"/>
        </w:rPr>
      </w:pPr>
      <w:r w:rsidRPr="00FC4ACA">
        <w:rPr>
          <w:rFonts w:ascii="Times New Roman" w:hAnsi="Times New Roman" w:cs="Times New Roman"/>
          <w:sz w:val="22"/>
          <w:szCs w:val="22"/>
        </w:rPr>
        <w:t>Şirket birleşmeleri, yapısal bir dönüşümün yanında doğru planlandığında önemli vergisel avantajlar da sağlayabilir.</w:t>
      </w:r>
    </w:p>
    <w:p w14:paraId="04ABD624" w14:textId="435AFD12" w:rsidR="007F3019" w:rsidRPr="00FC4ACA" w:rsidRDefault="007F3019" w:rsidP="009204C5">
      <w:pPr>
        <w:jc w:val="both"/>
        <w:rPr>
          <w:rFonts w:ascii="Times New Roman" w:hAnsi="Times New Roman" w:cs="Times New Roman"/>
          <w:sz w:val="22"/>
          <w:szCs w:val="22"/>
        </w:rPr>
      </w:pPr>
      <w:r w:rsidRPr="00FC4ACA">
        <w:rPr>
          <w:rFonts w:ascii="Times New Roman" w:hAnsi="Times New Roman" w:cs="Times New Roman"/>
          <w:sz w:val="22"/>
          <w:szCs w:val="22"/>
        </w:rPr>
        <w:t>Türk vergi mevzuatında bu avantajlar, Kurumlar Vergisi Kanunu’nun (KVK) 9, 19 ve 20. maddeleri ile Katma Değer Vergisi Kanunu’nun (KDVK) 17/4-c maddesi çerçevesinde düzenlenmiştir.</w:t>
      </w:r>
    </w:p>
    <w:p w14:paraId="4F42E6F6" w14:textId="77777777" w:rsidR="007F3019" w:rsidRPr="00FC4ACA" w:rsidRDefault="007F3019" w:rsidP="009204C5">
      <w:pPr>
        <w:jc w:val="both"/>
        <w:rPr>
          <w:rFonts w:ascii="Times New Roman" w:hAnsi="Times New Roman" w:cs="Times New Roman"/>
          <w:sz w:val="22"/>
          <w:szCs w:val="22"/>
        </w:rPr>
      </w:pPr>
      <w:r w:rsidRPr="00FC4ACA">
        <w:rPr>
          <w:rFonts w:ascii="Times New Roman" w:hAnsi="Times New Roman" w:cs="Times New Roman"/>
          <w:sz w:val="22"/>
          <w:szCs w:val="22"/>
        </w:rPr>
        <w:t>Aşağıda, kanun metinlerine dayalı olarak bu avantajların ne şekilde kullanılabileceğini açıklıyoruz.</w:t>
      </w:r>
    </w:p>
    <w:p w14:paraId="54A35AEF" w14:textId="77777777" w:rsidR="007F3019" w:rsidRPr="00FC4ACA" w:rsidRDefault="007F3019" w:rsidP="009204C5">
      <w:pPr>
        <w:jc w:val="both"/>
        <w:rPr>
          <w:rFonts w:ascii="Times New Roman" w:hAnsi="Times New Roman" w:cs="Times New Roman"/>
          <w:sz w:val="22"/>
          <w:szCs w:val="22"/>
        </w:rPr>
      </w:pPr>
    </w:p>
    <w:p w14:paraId="6B6CF8C7" w14:textId="7352A0BE" w:rsidR="007F3019" w:rsidRPr="00FC4ACA" w:rsidRDefault="007F3019" w:rsidP="009204C5">
      <w:pPr>
        <w:jc w:val="both"/>
        <w:rPr>
          <w:rFonts w:ascii="Times New Roman" w:hAnsi="Times New Roman" w:cs="Times New Roman"/>
          <w:b/>
          <w:bCs/>
          <w:sz w:val="22"/>
          <w:szCs w:val="22"/>
        </w:rPr>
      </w:pPr>
      <w:r w:rsidRPr="00FC4ACA">
        <w:rPr>
          <w:rFonts w:ascii="Times New Roman" w:hAnsi="Times New Roman" w:cs="Times New Roman"/>
          <w:b/>
          <w:bCs/>
          <w:sz w:val="22"/>
          <w:szCs w:val="22"/>
        </w:rPr>
        <w:t>Vergisiz Birleşme</w:t>
      </w:r>
    </w:p>
    <w:p w14:paraId="25CC1B21" w14:textId="766B2D31" w:rsidR="007F3019" w:rsidRPr="00FC4ACA" w:rsidRDefault="007F3019" w:rsidP="009204C5">
      <w:pPr>
        <w:jc w:val="both"/>
        <w:rPr>
          <w:rFonts w:ascii="Times New Roman" w:hAnsi="Times New Roman" w:cs="Times New Roman"/>
          <w:sz w:val="22"/>
          <w:szCs w:val="22"/>
        </w:rPr>
      </w:pPr>
      <w:r w:rsidRPr="00FC4ACA">
        <w:rPr>
          <w:rFonts w:ascii="Times New Roman" w:hAnsi="Times New Roman" w:cs="Times New Roman"/>
          <w:sz w:val="22"/>
          <w:szCs w:val="22"/>
        </w:rPr>
        <w:t>Birleşme işlemleri, Kurumlar Vergisi Kanunu’nun 19. maddesinde “devir” olarak tanımlanır. Kanuna göre, birleşme sonucunda infisah eden kurum ile birleşilen kurumun kanuni veya iş merkezlerinin Türkiye’de bulunması ve devrolan kurumun bilanço değerlerinin bir bütün hâlinde devralan kuruma geçmesi hâlinde işlem devir hükmündedir.</w:t>
      </w:r>
    </w:p>
    <w:p w14:paraId="12975B00" w14:textId="7FA0D6BE" w:rsidR="007F3019" w:rsidRPr="00FC4ACA" w:rsidRDefault="007F3019" w:rsidP="009204C5">
      <w:pPr>
        <w:jc w:val="both"/>
        <w:rPr>
          <w:rFonts w:ascii="Times New Roman" w:hAnsi="Times New Roman" w:cs="Times New Roman"/>
          <w:sz w:val="22"/>
          <w:szCs w:val="22"/>
        </w:rPr>
      </w:pPr>
      <w:r w:rsidRPr="00FC4ACA">
        <w:rPr>
          <w:rFonts w:ascii="Times New Roman" w:hAnsi="Times New Roman" w:cs="Times New Roman"/>
          <w:sz w:val="22"/>
          <w:szCs w:val="22"/>
        </w:rPr>
        <w:t>Bu düzenleme sayesinde birleşme işlemi tasfiye sayılmaz, devirden doğan kazançlar vergilendirilmez ve malvarlığı unsurları kayıtlı değerleriyle devredilebilir.</w:t>
      </w:r>
    </w:p>
    <w:p w14:paraId="0C0902DE" w14:textId="53CE0658" w:rsidR="007F3019" w:rsidRPr="00FC4ACA" w:rsidRDefault="007F3019" w:rsidP="009204C5">
      <w:pPr>
        <w:jc w:val="both"/>
        <w:rPr>
          <w:rFonts w:ascii="Times New Roman" w:hAnsi="Times New Roman" w:cs="Times New Roman"/>
          <w:sz w:val="22"/>
          <w:szCs w:val="22"/>
        </w:rPr>
      </w:pPr>
      <w:r w:rsidRPr="00FC4ACA">
        <w:rPr>
          <w:rFonts w:ascii="Times New Roman" w:hAnsi="Times New Roman" w:cs="Times New Roman"/>
          <w:sz w:val="22"/>
          <w:szCs w:val="22"/>
        </w:rPr>
        <w:t>Kurumlar Vergisi Kanunu’nun 20. maddesine göre, belirli şartlar yerine getirildiğinde birleşme sürecinde yalnızca devir tarihine kadar elde edilen kazançlar vergilendirilir. Birleşmeden doğan kârlar ayrıca hesaplanmaz ve vergilendirilmez.</w:t>
      </w:r>
    </w:p>
    <w:p w14:paraId="5011FA7C" w14:textId="1E9413F4" w:rsidR="009204C5" w:rsidRPr="00FC4ACA" w:rsidRDefault="007F3019" w:rsidP="009204C5">
      <w:pPr>
        <w:jc w:val="both"/>
        <w:rPr>
          <w:rFonts w:ascii="Times New Roman" w:hAnsi="Times New Roman" w:cs="Times New Roman"/>
          <w:sz w:val="22"/>
          <w:szCs w:val="22"/>
        </w:rPr>
      </w:pPr>
      <w:r w:rsidRPr="00FC4ACA">
        <w:rPr>
          <w:rFonts w:ascii="Times New Roman" w:hAnsi="Times New Roman" w:cs="Times New Roman"/>
          <w:sz w:val="22"/>
          <w:szCs w:val="22"/>
        </w:rPr>
        <w:t>Bu yapı, birleşmenin vergisiz biçimde gerçekleştirilmesine imkân tanır. Birleşilen kurum, devrolan şirketin aktif ve pasiflerini aynen devralırken ek bir kurumlar vergisi yüküyle karşılaşmaz.</w:t>
      </w:r>
    </w:p>
    <w:p w14:paraId="3A6A8E95" w14:textId="77777777" w:rsidR="009204C5" w:rsidRPr="00FC4ACA" w:rsidRDefault="009204C5" w:rsidP="009204C5">
      <w:pPr>
        <w:jc w:val="both"/>
        <w:rPr>
          <w:rFonts w:ascii="Times New Roman" w:hAnsi="Times New Roman" w:cs="Times New Roman"/>
          <w:sz w:val="22"/>
          <w:szCs w:val="22"/>
        </w:rPr>
      </w:pPr>
    </w:p>
    <w:p w14:paraId="3E9F89B6" w14:textId="723C46BD" w:rsidR="007F3019" w:rsidRPr="00FC4ACA" w:rsidRDefault="007F3019" w:rsidP="009204C5">
      <w:pPr>
        <w:jc w:val="both"/>
        <w:rPr>
          <w:rFonts w:ascii="Times New Roman" w:hAnsi="Times New Roman" w:cs="Times New Roman"/>
          <w:b/>
          <w:bCs/>
          <w:sz w:val="22"/>
          <w:szCs w:val="22"/>
        </w:rPr>
      </w:pPr>
      <w:r w:rsidRPr="00FC4ACA">
        <w:rPr>
          <w:rFonts w:ascii="Times New Roman" w:hAnsi="Times New Roman" w:cs="Times New Roman"/>
          <w:b/>
          <w:bCs/>
          <w:sz w:val="22"/>
          <w:szCs w:val="22"/>
        </w:rPr>
        <w:t>Zarar Mahsubu Hakkı</w:t>
      </w:r>
    </w:p>
    <w:p w14:paraId="154B1942" w14:textId="579AF0DB" w:rsidR="007F3019" w:rsidRPr="00FC4ACA" w:rsidRDefault="007F3019" w:rsidP="009204C5">
      <w:pPr>
        <w:jc w:val="both"/>
        <w:rPr>
          <w:rFonts w:ascii="Times New Roman" w:hAnsi="Times New Roman" w:cs="Times New Roman"/>
          <w:sz w:val="22"/>
          <w:szCs w:val="22"/>
        </w:rPr>
      </w:pPr>
      <w:r w:rsidRPr="00FC4ACA">
        <w:rPr>
          <w:rFonts w:ascii="Times New Roman" w:hAnsi="Times New Roman" w:cs="Times New Roman"/>
          <w:sz w:val="22"/>
          <w:szCs w:val="22"/>
        </w:rPr>
        <w:t>Birleşme sonrasında devralınan şirketin geçmiş zararları belirli koşullarda indirime konu edilebilir. Kurumlar Vergisi Kanunu’nun 9. maddesi bu hakkı açık biçimde tanımlar.</w:t>
      </w:r>
    </w:p>
    <w:p w14:paraId="04B4432D" w14:textId="27F399E0" w:rsidR="009204C5" w:rsidRPr="00FC4ACA" w:rsidRDefault="007F3019" w:rsidP="009204C5">
      <w:pPr>
        <w:jc w:val="both"/>
        <w:rPr>
          <w:rFonts w:ascii="Times New Roman" w:hAnsi="Times New Roman" w:cs="Times New Roman"/>
          <w:sz w:val="22"/>
          <w:szCs w:val="22"/>
        </w:rPr>
      </w:pPr>
      <w:r w:rsidRPr="00FC4ACA">
        <w:rPr>
          <w:rFonts w:ascii="Times New Roman" w:hAnsi="Times New Roman" w:cs="Times New Roman"/>
          <w:sz w:val="22"/>
          <w:szCs w:val="22"/>
        </w:rPr>
        <w:t>Kanuna göre, devralınan kurumun öz sermayesini aşmayan zararları, gerekli şartlar sağlandığında indirilebilir.</w:t>
      </w:r>
    </w:p>
    <w:p w14:paraId="501EF55E" w14:textId="3FC03BCE" w:rsidR="007F3019" w:rsidRPr="00FC4ACA" w:rsidRDefault="007F3019" w:rsidP="009204C5">
      <w:pPr>
        <w:jc w:val="both"/>
        <w:rPr>
          <w:rFonts w:ascii="Times New Roman" w:hAnsi="Times New Roman" w:cs="Times New Roman"/>
          <w:sz w:val="22"/>
          <w:szCs w:val="22"/>
        </w:rPr>
      </w:pPr>
      <w:r w:rsidRPr="00FC4ACA">
        <w:rPr>
          <w:rFonts w:ascii="Times New Roman" w:hAnsi="Times New Roman" w:cs="Times New Roman"/>
          <w:sz w:val="22"/>
          <w:szCs w:val="22"/>
        </w:rPr>
        <w:t>Bu şartlar arasında son beş yıla ait beyannamelerin süresinde verilmiş olması ve devralınan kurumun faaliyetinin en az beş yıl devam etmesi bulunur.</w:t>
      </w:r>
    </w:p>
    <w:p w14:paraId="034898B4" w14:textId="2498A369" w:rsidR="007F3019" w:rsidRPr="00FC4ACA" w:rsidRDefault="007F3019" w:rsidP="009204C5">
      <w:pPr>
        <w:jc w:val="both"/>
        <w:rPr>
          <w:rFonts w:ascii="Times New Roman" w:hAnsi="Times New Roman" w:cs="Times New Roman"/>
          <w:sz w:val="22"/>
          <w:szCs w:val="22"/>
        </w:rPr>
      </w:pPr>
      <w:r w:rsidRPr="00FC4ACA">
        <w:rPr>
          <w:rFonts w:ascii="Times New Roman" w:hAnsi="Times New Roman" w:cs="Times New Roman"/>
          <w:sz w:val="22"/>
          <w:szCs w:val="22"/>
        </w:rPr>
        <w:t>Bu koşullar yerine getirildiğinde devralan kurum, birleşmeden önceki zararları kurum kazancından düşebilir.</w:t>
      </w:r>
    </w:p>
    <w:p w14:paraId="72175625" w14:textId="572052F8" w:rsidR="007F3019" w:rsidRPr="00FC4ACA" w:rsidRDefault="007F3019" w:rsidP="009204C5">
      <w:pPr>
        <w:jc w:val="both"/>
        <w:rPr>
          <w:rFonts w:ascii="Times New Roman" w:hAnsi="Times New Roman" w:cs="Times New Roman"/>
          <w:sz w:val="22"/>
          <w:szCs w:val="22"/>
        </w:rPr>
      </w:pPr>
      <w:r w:rsidRPr="00FC4ACA">
        <w:rPr>
          <w:rFonts w:ascii="Times New Roman" w:hAnsi="Times New Roman" w:cs="Times New Roman"/>
          <w:sz w:val="22"/>
          <w:szCs w:val="22"/>
        </w:rPr>
        <w:t>Bu uygulama, mali sıkıntı yaşayan şirketlerin birleşme yoluyla zararlarını vergi avantajına çevirmesine olanak sağlar.</w:t>
      </w:r>
    </w:p>
    <w:p w14:paraId="0450C321" w14:textId="77777777" w:rsidR="007F3019" w:rsidRPr="00FC4ACA" w:rsidRDefault="007F3019" w:rsidP="009204C5">
      <w:pPr>
        <w:jc w:val="both"/>
        <w:rPr>
          <w:rFonts w:ascii="Times New Roman" w:hAnsi="Times New Roman" w:cs="Times New Roman"/>
          <w:sz w:val="22"/>
          <w:szCs w:val="22"/>
        </w:rPr>
      </w:pPr>
      <w:r w:rsidRPr="00FC4ACA">
        <w:rPr>
          <w:rFonts w:ascii="Times New Roman" w:hAnsi="Times New Roman" w:cs="Times New Roman"/>
          <w:sz w:val="22"/>
          <w:szCs w:val="22"/>
        </w:rPr>
        <w:t xml:space="preserve">Kanunun 9/1. maddesinde, şartların ihlali hâlinde zamanında tahakkuk ettirilmeyen vergiler için vergi </w:t>
      </w:r>
      <w:proofErr w:type="spellStart"/>
      <w:r w:rsidRPr="00FC4ACA">
        <w:rPr>
          <w:rFonts w:ascii="Times New Roman" w:hAnsi="Times New Roman" w:cs="Times New Roman"/>
          <w:sz w:val="22"/>
          <w:szCs w:val="22"/>
        </w:rPr>
        <w:t>ziyaı</w:t>
      </w:r>
      <w:proofErr w:type="spellEnd"/>
      <w:r w:rsidRPr="00FC4ACA">
        <w:rPr>
          <w:rFonts w:ascii="Times New Roman" w:hAnsi="Times New Roman" w:cs="Times New Roman"/>
          <w:sz w:val="22"/>
          <w:szCs w:val="22"/>
        </w:rPr>
        <w:t xml:space="preserve"> doğacağı da belirtilmiştir.</w:t>
      </w:r>
    </w:p>
    <w:p w14:paraId="295A7BDE" w14:textId="77777777" w:rsidR="007F3019" w:rsidRPr="00FC4ACA" w:rsidRDefault="007F3019" w:rsidP="009204C5">
      <w:pPr>
        <w:jc w:val="both"/>
        <w:rPr>
          <w:rFonts w:ascii="Times New Roman" w:hAnsi="Times New Roman" w:cs="Times New Roman"/>
          <w:sz w:val="22"/>
          <w:szCs w:val="22"/>
        </w:rPr>
      </w:pPr>
    </w:p>
    <w:p w14:paraId="2A7FEEC2" w14:textId="77777777" w:rsidR="009204C5" w:rsidRPr="00FC4ACA" w:rsidRDefault="009204C5" w:rsidP="009204C5">
      <w:pPr>
        <w:jc w:val="both"/>
        <w:rPr>
          <w:rFonts w:ascii="Times New Roman" w:hAnsi="Times New Roman" w:cs="Times New Roman"/>
          <w:sz w:val="22"/>
          <w:szCs w:val="22"/>
        </w:rPr>
      </w:pPr>
    </w:p>
    <w:p w14:paraId="138C85BC" w14:textId="77777777" w:rsidR="009204C5" w:rsidRPr="00FC4ACA" w:rsidRDefault="009204C5" w:rsidP="009204C5">
      <w:pPr>
        <w:jc w:val="both"/>
        <w:rPr>
          <w:rFonts w:ascii="Times New Roman" w:hAnsi="Times New Roman" w:cs="Times New Roman"/>
          <w:sz w:val="22"/>
          <w:szCs w:val="22"/>
        </w:rPr>
      </w:pPr>
    </w:p>
    <w:p w14:paraId="5959D22E" w14:textId="15979CBC" w:rsidR="007F3019" w:rsidRPr="00FC4ACA" w:rsidRDefault="007F3019" w:rsidP="009204C5">
      <w:pPr>
        <w:jc w:val="both"/>
        <w:rPr>
          <w:rFonts w:ascii="Times New Roman" w:hAnsi="Times New Roman" w:cs="Times New Roman"/>
          <w:b/>
          <w:bCs/>
          <w:sz w:val="22"/>
          <w:szCs w:val="22"/>
        </w:rPr>
      </w:pPr>
      <w:r w:rsidRPr="00FC4ACA">
        <w:rPr>
          <w:rFonts w:ascii="Times New Roman" w:hAnsi="Times New Roman" w:cs="Times New Roman"/>
          <w:b/>
          <w:bCs/>
          <w:sz w:val="22"/>
          <w:szCs w:val="22"/>
        </w:rPr>
        <w:t>KDV İstisnası</w:t>
      </w:r>
    </w:p>
    <w:p w14:paraId="08A111E7" w14:textId="7CF2F94E" w:rsidR="007F3019" w:rsidRPr="00FC4ACA" w:rsidRDefault="007F3019" w:rsidP="009204C5">
      <w:pPr>
        <w:jc w:val="both"/>
        <w:rPr>
          <w:rFonts w:ascii="Times New Roman" w:hAnsi="Times New Roman" w:cs="Times New Roman"/>
          <w:sz w:val="22"/>
          <w:szCs w:val="22"/>
        </w:rPr>
      </w:pPr>
      <w:r w:rsidRPr="00FC4ACA">
        <w:rPr>
          <w:rFonts w:ascii="Times New Roman" w:hAnsi="Times New Roman" w:cs="Times New Roman"/>
          <w:sz w:val="22"/>
          <w:szCs w:val="22"/>
        </w:rPr>
        <w:t>Birleşme işlemleri Katma Değer Vergisi yönünden de önemli avantajlar sağlar. KDV Kanunu’nun 17/4-c maddesine göre, Kurumlar Vergisi Kanunu’na uygun biçimde yapılan devir ve bölünme işlemleri KDV’den istisnadır.</w:t>
      </w:r>
    </w:p>
    <w:p w14:paraId="5FF6DEA1" w14:textId="57A142C2" w:rsidR="007F3019" w:rsidRPr="00FC4ACA" w:rsidRDefault="007F3019" w:rsidP="009204C5">
      <w:pPr>
        <w:jc w:val="both"/>
        <w:rPr>
          <w:rFonts w:ascii="Times New Roman" w:hAnsi="Times New Roman" w:cs="Times New Roman"/>
          <w:sz w:val="22"/>
          <w:szCs w:val="22"/>
        </w:rPr>
      </w:pPr>
      <w:r w:rsidRPr="00FC4ACA">
        <w:rPr>
          <w:rFonts w:ascii="Times New Roman" w:hAnsi="Times New Roman" w:cs="Times New Roman"/>
          <w:sz w:val="22"/>
          <w:szCs w:val="22"/>
        </w:rPr>
        <w:t>Bu nedenle birleşme sırasında taşınmaz, makine, ekipman ve diğer varlıkların devri yapılırken KDV hesaplanmaz.</w:t>
      </w:r>
    </w:p>
    <w:p w14:paraId="1CC7B4C9" w14:textId="77777777" w:rsidR="007F3019" w:rsidRPr="00FC4ACA" w:rsidRDefault="007F3019" w:rsidP="009204C5">
      <w:pPr>
        <w:jc w:val="both"/>
        <w:rPr>
          <w:rFonts w:ascii="Times New Roman" w:hAnsi="Times New Roman" w:cs="Times New Roman"/>
          <w:sz w:val="22"/>
          <w:szCs w:val="22"/>
        </w:rPr>
      </w:pPr>
      <w:r w:rsidRPr="00FC4ACA">
        <w:rPr>
          <w:rFonts w:ascii="Times New Roman" w:hAnsi="Times New Roman" w:cs="Times New Roman"/>
          <w:sz w:val="22"/>
          <w:szCs w:val="22"/>
        </w:rPr>
        <w:t>Ayrıca indirilemeyen KDV’nin devralan kurumca indirim konusu yapılabilmesi mümkündür. Bu hüküm, birleşme sürecinde çifte vergilendirmenin önüne geçer.</w:t>
      </w:r>
    </w:p>
    <w:p w14:paraId="346F44E2" w14:textId="77777777" w:rsidR="007F3019" w:rsidRPr="00FC4ACA" w:rsidRDefault="007F3019" w:rsidP="009204C5">
      <w:pPr>
        <w:jc w:val="both"/>
        <w:rPr>
          <w:rFonts w:ascii="Times New Roman" w:hAnsi="Times New Roman" w:cs="Times New Roman"/>
          <w:sz w:val="22"/>
          <w:szCs w:val="22"/>
        </w:rPr>
      </w:pPr>
    </w:p>
    <w:p w14:paraId="74F28498" w14:textId="0E382873" w:rsidR="007F3019" w:rsidRPr="00FC4ACA" w:rsidRDefault="007F3019" w:rsidP="009204C5">
      <w:pPr>
        <w:jc w:val="both"/>
        <w:rPr>
          <w:rFonts w:ascii="Times New Roman" w:hAnsi="Times New Roman" w:cs="Times New Roman"/>
          <w:b/>
          <w:bCs/>
          <w:sz w:val="22"/>
          <w:szCs w:val="22"/>
        </w:rPr>
      </w:pPr>
      <w:r w:rsidRPr="00FC4ACA">
        <w:rPr>
          <w:rFonts w:ascii="Times New Roman" w:hAnsi="Times New Roman" w:cs="Times New Roman"/>
          <w:b/>
          <w:bCs/>
          <w:sz w:val="22"/>
          <w:szCs w:val="22"/>
        </w:rPr>
        <w:t>Faaliyet Devamı ve Beyanname Sorumluluğu</w:t>
      </w:r>
    </w:p>
    <w:p w14:paraId="1E0E6C3B" w14:textId="10A623B8" w:rsidR="007F3019" w:rsidRPr="00FC4ACA" w:rsidRDefault="007F3019" w:rsidP="009204C5">
      <w:pPr>
        <w:jc w:val="both"/>
        <w:rPr>
          <w:rFonts w:ascii="Times New Roman" w:hAnsi="Times New Roman" w:cs="Times New Roman"/>
          <w:sz w:val="22"/>
          <w:szCs w:val="22"/>
        </w:rPr>
      </w:pPr>
      <w:r w:rsidRPr="00FC4ACA">
        <w:rPr>
          <w:rFonts w:ascii="Times New Roman" w:hAnsi="Times New Roman" w:cs="Times New Roman"/>
          <w:sz w:val="22"/>
          <w:szCs w:val="22"/>
        </w:rPr>
        <w:t>Birleşme tamamlandığında, devir tarihine kadar olan kazançlar için birleşilen kurum ile münfesih kurum birlikte beyanname verir.</w:t>
      </w:r>
    </w:p>
    <w:p w14:paraId="7A81A84D" w14:textId="48072630" w:rsidR="007F3019" w:rsidRPr="00FC4ACA" w:rsidRDefault="007F3019" w:rsidP="009204C5">
      <w:pPr>
        <w:jc w:val="both"/>
        <w:rPr>
          <w:rFonts w:ascii="Times New Roman" w:hAnsi="Times New Roman" w:cs="Times New Roman"/>
          <w:sz w:val="22"/>
          <w:szCs w:val="22"/>
        </w:rPr>
      </w:pPr>
      <w:r w:rsidRPr="00FC4ACA">
        <w:rPr>
          <w:rFonts w:ascii="Times New Roman" w:hAnsi="Times New Roman" w:cs="Times New Roman"/>
          <w:sz w:val="22"/>
          <w:szCs w:val="22"/>
        </w:rPr>
        <w:t>Devir sonrası tüm vergisel yükümlülükler devralan şirkete geçer.</w:t>
      </w:r>
    </w:p>
    <w:p w14:paraId="56CA8B7A" w14:textId="1D2BD544" w:rsidR="007F3019" w:rsidRPr="00FC4ACA" w:rsidRDefault="007F3019" w:rsidP="009204C5">
      <w:pPr>
        <w:jc w:val="both"/>
        <w:rPr>
          <w:rFonts w:ascii="Times New Roman" w:hAnsi="Times New Roman" w:cs="Times New Roman"/>
          <w:sz w:val="22"/>
          <w:szCs w:val="22"/>
        </w:rPr>
      </w:pPr>
      <w:r w:rsidRPr="00FC4ACA">
        <w:rPr>
          <w:rFonts w:ascii="Times New Roman" w:hAnsi="Times New Roman" w:cs="Times New Roman"/>
          <w:sz w:val="22"/>
          <w:szCs w:val="22"/>
        </w:rPr>
        <w:t xml:space="preserve">Devralan kurum, devrolan kurumun vergi borçlarından </w:t>
      </w:r>
      <w:proofErr w:type="spellStart"/>
      <w:r w:rsidRPr="00FC4ACA">
        <w:rPr>
          <w:rFonts w:ascii="Times New Roman" w:hAnsi="Times New Roman" w:cs="Times New Roman"/>
          <w:sz w:val="22"/>
          <w:szCs w:val="22"/>
        </w:rPr>
        <w:t>müteselsilen</w:t>
      </w:r>
      <w:proofErr w:type="spellEnd"/>
      <w:r w:rsidRPr="00FC4ACA">
        <w:rPr>
          <w:rFonts w:ascii="Times New Roman" w:hAnsi="Times New Roman" w:cs="Times New Roman"/>
          <w:sz w:val="22"/>
          <w:szCs w:val="22"/>
        </w:rPr>
        <w:t xml:space="preserve"> sorumludur.</w:t>
      </w:r>
    </w:p>
    <w:p w14:paraId="3355B3F8" w14:textId="77777777" w:rsidR="007F3019" w:rsidRPr="00FC4ACA" w:rsidRDefault="007F3019" w:rsidP="009204C5">
      <w:pPr>
        <w:jc w:val="both"/>
        <w:rPr>
          <w:rFonts w:ascii="Times New Roman" w:hAnsi="Times New Roman" w:cs="Times New Roman"/>
          <w:sz w:val="22"/>
          <w:szCs w:val="22"/>
        </w:rPr>
      </w:pPr>
      <w:r w:rsidRPr="00FC4ACA">
        <w:rPr>
          <w:rFonts w:ascii="Times New Roman" w:hAnsi="Times New Roman" w:cs="Times New Roman"/>
          <w:sz w:val="22"/>
          <w:szCs w:val="22"/>
        </w:rPr>
        <w:t>Bu düzenleme, vergi idaresi açısından süreklilik sağlar ve birleşme sonrası dönemin hukuken sorunsuz ilerlemesine yardımcı olur.</w:t>
      </w:r>
    </w:p>
    <w:p w14:paraId="79E5F31A" w14:textId="77777777" w:rsidR="007F3019" w:rsidRPr="00FC4ACA" w:rsidRDefault="007F3019" w:rsidP="009204C5">
      <w:pPr>
        <w:jc w:val="both"/>
        <w:rPr>
          <w:rFonts w:ascii="Times New Roman" w:hAnsi="Times New Roman" w:cs="Times New Roman"/>
          <w:sz w:val="22"/>
          <w:szCs w:val="22"/>
        </w:rPr>
      </w:pPr>
    </w:p>
    <w:p w14:paraId="395F0C4C" w14:textId="499A0E27" w:rsidR="007F3019" w:rsidRPr="00FC4ACA" w:rsidRDefault="007F3019" w:rsidP="009204C5">
      <w:pPr>
        <w:jc w:val="both"/>
        <w:rPr>
          <w:rFonts w:ascii="Times New Roman" w:hAnsi="Times New Roman" w:cs="Times New Roman"/>
          <w:b/>
          <w:bCs/>
          <w:sz w:val="22"/>
          <w:szCs w:val="22"/>
        </w:rPr>
      </w:pPr>
      <w:r w:rsidRPr="00FC4ACA">
        <w:rPr>
          <w:rFonts w:ascii="Times New Roman" w:hAnsi="Times New Roman" w:cs="Times New Roman"/>
          <w:b/>
          <w:bCs/>
          <w:sz w:val="22"/>
          <w:szCs w:val="22"/>
        </w:rPr>
        <w:t>Örnekle Açıklarsak</w:t>
      </w:r>
    </w:p>
    <w:p w14:paraId="351DDD7B" w14:textId="7D86F040" w:rsidR="007F3019" w:rsidRPr="00FC4ACA" w:rsidRDefault="007F3019" w:rsidP="009204C5">
      <w:pPr>
        <w:jc w:val="both"/>
        <w:rPr>
          <w:rFonts w:ascii="Times New Roman" w:hAnsi="Times New Roman" w:cs="Times New Roman"/>
          <w:sz w:val="22"/>
          <w:szCs w:val="22"/>
        </w:rPr>
      </w:pPr>
      <w:r w:rsidRPr="00FC4ACA">
        <w:rPr>
          <w:rFonts w:ascii="Times New Roman" w:hAnsi="Times New Roman" w:cs="Times New Roman"/>
          <w:sz w:val="22"/>
          <w:szCs w:val="22"/>
        </w:rPr>
        <w:t xml:space="preserve">A Şirketi, 2025 yılında B Şirketi’ni </w:t>
      </w:r>
      <w:proofErr w:type="spellStart"/>
      <w:r w:rsidRPr="00FC4ACA">
        <w:rPr>
          <w:rFonts w:ascii="Times New Roman" w:hAnsi="Times New Roman" w:cs="Times New Roman"/>
          <w:sz w:val="22"/>
          <w:szCs w:val="22"/>
        </w:rPr>
        <w:t>KVK’nın</w:t>
      </w:r>
      <w:proofErr w:type="spellEnd"/>
      <w:r w:rsidRPr="00FC4ACA">
        <w:rPr>
          <w:rFonts w:ascii="Times New Roman" w:hAnsi="Times New Roman" w:cs="Times New Roman"/>
          <w:sz w:val="22"/>
          <w:szCs w:val="22"/>
        </w:rPr>
        <w:t xml:space="preserve"> 19 ve 20. maddeleri kapsamında devralıyor. B Şirketi’nin son beş yıldır beyannameleri süresinde verilmiş ve 2 milyon TL geçmiş yıl zararı bulunuyor.</w:t>
      </w:r>
    </w:p>
    <w:p w14:paraId="08C31734" w14:textId="77777777" w:rsidR="009204C5" w:rsidRPr="00FC4ACA" w:rsidRDefault="009204C5" w:rsidP="009204C5">
      <w:pPr>
        <w:jc w:val="both"/>
        <w:rPr>
          <w:rFonts w:ascii="Times New Roman" w:hAnsi="Times New Roman" w:cs="Times New Roman"/>
          <w:sz w:val="22"/>
          <w:szCs w:val="22"/>
        </w:rPr>
      </w:pPr>
    </w:p>
    <w:p w14:paraId="3A909878" w14:textId="19AE4E2C" w:rsidR="007F3019" w:rsidRPr="00FC4ACA" w:rsidRDefault="007F3019" w:rsidP="009204C5">
      <w:pPr>
        <w:jc w:val="both"/>
        <w:rPr>
          <w:rFonts w:ascii="Times New Roman" w:hAnsi="Times New Roman" w:cs="Times New Roman"/>
          <w:sz w:val="22"/>
          <w:szCs w:val="22"/>
        </w:rPr>
      </w:pPr>
      <w:r w:rsidRPr="00FC4ACA">
        <w:rPr>
          <w:rFonts w:ascii="Times New Roman" w:hAnsi="Times New Roman" w:cs="Times New Roman"/>
          <w:sz w:val="22"/>
          <w:szCs w:val="22"/>
        </w:rPr>
        <w:t>Bu durumda:</w:t>
      </w:r>
    </w:p>
    <w:p w14:paraId="58360677" w14:textId="77777777" w:rsidR="007F3019" w:rsidRPr="00FC4ACA" w:rsidRDefault="007F3019" w:rsidP="009204C5">
      <w:pPr>
        <w:jc w:val="both"/>
        <w:rPr>
          <w:rFonts w:ascii="Times New Roman" w:hAnsi="Times New Roman" w:cs="Times New Roman"/>
          <w:sz w:val="22"/>
          <w:szCs w:val="22"/>
        </w:rPr>
      </w:pPr>
      <w:r w:rsidRPr="00FC4ACA">
        <w:rPr>
          <w:rFonts w:ascii="Times New Roman" w:hAnsi="Times New Roman" w:cs="Times New Roman"/>
          <w:sz w:val="22"/>
          <w:szCs w:val="22"/>
        </w:rPr>
        <w:t>Birleşme vergisiz gerçekleşir.</w:t>
      </w:r>
    </w:p>
    <w:p w14:paraId="2BA2D906" w14:textId="77777777" w:rsidR="007F3019" w:rsidRPr="00FC4ACA" w:rsidRDefault="007F3019" w:rsidP="009204C5">
      <w:pPr>
        <w:jc w:val="both"/>
        <w:rPr>
          <w:rFonts w:ascii="Times New Roman" w:hAnsi="Times New Roman" w:cs="Times New Roman"/>
          <w:sz w:val="22"/>
          <w:szCs w:val="22"/>
        </w:rPr>
      </w:pPr>
      <w:r w:rsidRPr="00FC4ACA">
        <w:rPr>
          <w:rFonts w:ascii="Times New Roman" w:hAnsi="Times New Roman" w:cs="Times New Roman"/>
          <w:sz w:val="22"/>
          <w:szCs w:val="22"/>
        </w:rPr>
        <w:t>A Şirketi, B Şirketi’nin zararını beş yıl içinde vergi matrahından düşebilir.</w:t>
      </w:r>
    </w:p>
    <w:p w14:paraId="5D7E13E9" w14:textId="6A7CE028" w:rsidR="007F3019" w:rsidRPr="00FC4ACA" w:rsidRDefault="007F3019" w:rsidP="009204C5">
      <w:pPr>
        <w:jc w:val="both"/>
        <w:rPr>
          <w:rFonts w:ascii="Times New Roman" w:hAnsi="Times New Roman" w:cs="Times New Roman"/>
          <w:sz w:val="22"/>
          <w:szCs w:val="22"/>
        </w:rPr>
      </w:pPr>
      <w:r w:rsidRPr="00FC4ACA">
        <w:rPr>
          <w:rFonts w:ascii="Times New Roman" w:hAnsi="Times New Roman" w:cs="Times New Roman"/>
          <w:sz w:val="22"/>
          <w:szCs w:val="22"/>
        </w:rPr>
        <w:t>Devir sırasında KDV uygulanmaz.</w:t>
      </w:r>
    </w:p>
    <w:p w14:paraId="3C8F9A78" w14:textId="485DC753" w:rsidR="007F3019" w:rsidRPr="00FC4ACA" w:rsidRDefault="007F3019" w:rsidP="009204C5">
      <w:pPr>
        <w:jc w:val="both"/>
        <w:rPr>
          <w:rFonts w:ascii="Times New Roman" w:hAnsi="Times New Roman" w:cs="Times New Roman"/>
          <w:sz w:val="22"/>
          <w:szCs w:val="22"/>
        </w:rPr>
      </w:pPr>
      <w:r w:rsidRPr="00FC4ACA">
        <w:rPr>
          <w:rFonts w:ascii="Times New Roman" w:hAnsi="Times New Roman" w:cs="Times New Roman"/>
          <w:sz w:val="22"/>
          <w:szCs w:val="22"/>
        </w:rPr>
        <w:t>Özetle, birleşme hem vergi yükü doğurmadan tamamlanır hem de zarar mahsubu sayesinde önemli bir finansal avantaj sağlar</w:t>
      </w:r>
      <w:r w:rsidR="009204C5" w:rsidRPr="00FC4ACA">
        <w:rPr>
          <w:rFonts w:ascii="Times New Roman" w:hAnsi="Times New Roman" w:cs="Times New Roman"/>
          <w:sz w:val="22"/>
          <w:szCs w:val="22"/>
        </w:rPr>
        <w:t>.</w:t>
      </w:r>
    </w:p>
    <w:p w14:paraId="3A96A804" w14:textId="77777777" w:rsidR="009204C5" w:rsidRPr="00FC4ACA" w:rsidRDefault="009204C5" w:rsidP="009204C5">
      <w:pPr>
        <w:jc w:val="both"/>
        <w:rPr>
          <w:rFonts w:ascii="Times New Roman" w:hAnsi="Times New Roman" w:cs="Times New Roman"/>
          <w:sz w:val="22"/>
          <w:szCs w:val="22"/>
        </w:rPr>
      </w:pPr>
    </w:p>
    <w:p w14:paraId="7E52B6A9" w14:textId="3066AE2A" w:rsidR="007F3019" w:rsidRPr="00FC4ACA" w:rsidRDefault="007F3019" w:rsidP="009204C5">
      <w:pPr>
        <w:jc w:val="both"/>
        <w:rPr>
          <w:rFonts w:ascii="Times New Roman" w:hAnsi="Times New Roman" w:cs="Times New Roman"/>
          <w:b/>
          <w:bCs/>
          <w:sz w:val="22"/>
          <w:szCs w:val="22"/>
        </w:rPr>
      </w:pPr>
      <w:r w:rsidRPr="00FC4ACA">
        <w:rPr>
          <w:rFonts w:ascii="Times New Roman" w:hAnsi="Times New Roman" w:cs="Times New Roman"/>
          <w:b/>
          <w:bCs/>
          <w:sz w:val="22"/>
          <w:szCs w:val="22"/>
        </w:rPr>
        <w:t>Kısa Değerlendirme</w:t>
      </w:r>
    </w:p>
    <w:p w14:paraId="2FAB639C" w14:textId="1D066384" w:rsidR="007F3019" w:rsidRPr="00FC4ACA" w:rsidRDefault="007F3019" w:rsidP="009204C5">
      <w:pPr>
        <w:jc w:val="both"/>
        <w:rPr>
          <w:rFonts w:ascii="Times New Roman" w:hAnsi="Times New Roman" w:cs="Times New Roman"/>
          <w:sz w:val="22"/>
          <w:szCs w:val="22"/>
        </w:rPr>
      </w:pPr>
      <w:r w:rsidRPr="00FC4ACA">
        <w:rPr>
          <w:rFonts w:ascii="Times New Roman" w:hAnsi="Times New Roman" w:cs="Times New Roman"/>
          <w:sz w:val="22"/>
          <w:szCs w:val="22"/>
        </w:rPr>
        <w:t>Birleşmeler, zararların vergisel değere dönüştürülmesi açısından stratejik bir fırsattır. Zarar mahsubu hakkı sayesinde devralan kurum, geçmiş yılların zararlarını beş yıl boyunca vergi matrahından düşebilir.</w:t>
      </w:r>
    </w:p>
    <w:p w14:paraId="27B600FC" w14:textId="44BAD43B" w:rsidR="007F3019" w:rsidRPr="00FC4ACA" w:rsidRDefault="007F3019" w:rsidP="009204C5">
      <w:pPr>
        <w:jc w:val="both"/>
        <w:rPr>
          <w:rFonts w:ascii="Times New Roman" w:hAnsi="Times New Roman" w:cs="Times New Roman"/>
          <w:sz w:val="22"/>
          <w:szCs w:val="22"/>
        </w:rPr>
      </w:pPr>
      <w:r w:rsidRPr="00FC4ACA">
        <w:rPr>
          <w:rFonts w:ascii="Times New Roman" w:hAnsi="Times New Roman" w:cs="Times New Roman"/>
          <w:sz w:val="22"/>
          <w:szCs w:val="22"/>
        </w:rPr>
        <w:t>Bu durum vergi yükünü azaltır ve birleşmeyi ekonomik açıdan daha cazip hâle getirir.</w:t>
      </w:r>
    </w:p>
    <w:p w14:paraId="69DCB3DF" w14:textId="0C507D65" w:rsidR="00E12008" w:rsidRPr="00FC4ACA" w:rsidRDefault="007F3019" w:rsidP="009204C5">
      <w:pPr>
        <w:jc w:val="both"/>
        <w:rPr>
          <w:rFonts w:ascii="Times New Roman" w:hAnsi="Times New Roman" w:cs="Times New Roman"/>
          <w:sz w:val="22"/>
          <w:szCs w:val="22"/>
        </w:rPr>
      </w:pPr>
      <w:r w:rsidRPr="00FC4ACA">
        <w:rPr>
          <w:rFonts w:ascii="Times New Roman" w:hAnsi="Times New Roman" w:cs="Times New Roman"/>
          <w:sz w:val="22"/>
          <w:szCs w:val="22"/>
        </w:rPr>
        <w:lastRenderedPageBreak/>
        <w:t>Tüm bu avantajlardan yararlanabilmek için yasal şartlara eksiksiz uyulması gerekir. Birleşme öncesinde vergi hukukçusu veya mali müşavir desteği alınması, sürecin hem stratejik hem de hukuki açıdan doğru şekilde yürütülmesini sağlar.</w:t>
      </w:r>
    </w:p>
    <w:sectPr w:rsidR="00E12008" w:rsidRPr="00FC4A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110E40"/>
    <w:multiLevelType w:val="hybridMultilevel"/>
    <w:tmpl w:val="0A9A048C"/>
    <w:lvl w:ilvl="0" w:tplc="F076A1FE">
      <w:start w:val="1"/>
      <w:numFmt w:val="upperRoman"/>
      <w:lvlText w:val="%1."/>
      <w:lvlJc w:val="left"/>
      <w:pPr>
        <w:ind w:left="1440" w:hanging="72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4B3E4201"/>
    <w:multiLevelType w:val="hybridMultilevel"/>
    <w:tmpl w:val="BFA82F44"/>
    <w:lvl w:ilvl="0" w:tplc="8B12BA5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309629881">
    <w:abstractNumId w:val="1"/>
  </w:num>
  <w:num w:numId="2" w16cid:durableId="1789426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518"/>
    <w:rsid w:val="000875C7"/>
    <w:rsid w:val="00151BC4"/>
    <w:rsid w:val="00166922"/>
    <w:rsid w:val="0017403F"/>
    <w:rsid w:val="00263357"/>
    <w:rsid w:val="005841D6"/>
    <w:rsid w:val="006060EE"/>
    <w:rsid w:val="00771D9F"/>
    <w:rsid w:val="007F3019"/>
    <w:rsid w:val="00812BAD"/>
    <w:rsid w:val="008F5A4F"/>
    <w:rsid w:val="009204C5"/>
    <w:rsid w:val="009551B7"/>
    <w:rsid w:val="00964351"/>
    <w:rsid w:val="00B9403B"/>
    <w:rsid w:val="00CE5C72"/>
    <w:rsid w:val="00E0580E"/>
    <w:rsid w:val="00E12008"/>
    <w:rsid w:val="00EC7518"/>
    <w:rsid w:val="00FC4AC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290BB"/>
  <w15:chartTrackingRefBased/>
  <w15:docId w15:val="{6B6380AB-A0B0-465E-9047-F14B9E5F1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C75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EC75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EC7518"/>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C7518"/>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C7518"/>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C7518"/>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C7518"/>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C7518"/>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C7518"/>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C7518"/>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EC7518"/>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EC7518"/>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C7518"/>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C7518"/>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C7518"/>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C7518"/>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C7518"/>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C7518"/>
    <w:rPr>
      <w:rFonts w:eastAsiaTheme="majorEastAsia" w:cstheme="majorBidi"/>
      <w:color w:val="272727" w:themeColor="text1" w:themeTint="D8"/>
    </w:rPr>
  </w:style>
  <w:style w:type="paragraph" w:styleId="KonuBal">
    <w:name w:val="Title"/>
    <w:basedOn w:val="Normal"/>
    <w:next w:val="Normal"/>
    <w:link w:val="KonuBalChar"/>
    <w:uiPriority w:val="10"/>
    <w:qFormat/>
    <w:rsid w:val="00EC75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C7518"/>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C7518"/>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C7518"/>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C7518"/>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C7518"/>
    <w:rPr>
      <w:i/>
      <w:iCs/>
      <w:color w:val="404040" w:themeColor="text1" w:themeTint="BF"/>
    </w:rPr>
  </w:style>
  <w:style w:type="paragraph" w:styleId="ListeParagraf">
    <w:name w:val="List Paragraph"/>
    <w:basedOn w:val="Normal"/>
    <w:uiPriority w:val="34"/>
    <w:qFormat/>
    <w:rsid w:val="00EC7518"/>
    <w:pPr>
      <w:ind w:left="720"/>
      <w:contextualSpacing/>
    </w:pPr>
  </w:style>
  <w:style w:type="character" w:styleId="GlVurgulama">
    <w:name w:val="Intense Emphasis"/>
    <w:basedOn w:val="VarsaylanParagrafYazTipi"/>
    <w:uiPriority w:val="21"/>
    <w:qFormat/>
    <w:rsid w:val="00EC7518"/>
    <w:rPr>
      <w:i/>
      <w:iCs/>
      <w:color w:val="0F4761" w:themeColor="accent1" w:themeShade="BF"/>
    </w:rPr>
  </w:style>
  <w:style w:type="paragraph" w:styleId="GlAlnt">
    <w:name w:val="Intense Quote"/>
    <w:basedOn w:val="Normal"/>
    <w:next w:val="Normal"/>
    <w:link w:val="GlAlntChar"/>
    <w:uiPriority w:val="30"/>
    <w:qFormat/>
    <w:rsid w:val="00EC75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C7518"/>
    <w:rPr>
      <w:i/>
      <w:iCs/>
      <w:color w:val="0F4761" w:themeColor="accent1" w:themeShade="BF"/>
    </w:rPr>
  </w:style>
  <w:style w:type="character" w:styleId="GlBavuru">
    <w:name w:val="Intense Reference"/>
    <w:basedOn w:val="VarsaylanParagrafYazTipi"/>
    <w:uiPriority w:val="32"/>
    <w:qFormat/>
    <w:rsid w:val="00EC75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BE2FA2FC88FC524789DD26CCF4374E84" ma:contentTypeVersion="14" ma:contentTypeDescription="Yeni belge oluşturun." ma:contentTypeScope="" ma:versionID="09a22b8d39b58220fd4638cc93f66bab">
  <xsd:schema xmlns:xsd="http://www.w3.org/2001/XMLSchema" xmlns:xs="http://www.w3.org/2001/XMLSchema" xmlns:p="http://schemas.microsoft.com/office/2006/metadata/properties" xmlns:ns2="008e3b87-2b6f-4754-91c5-38b6e71c06dc" xmlns:ns3="a40ce3ce-1b1e-4805-af8a-69f5481a4fc0" targetNamespace="http://schemas.microsoft.com/office/2006/metadata/properties" ma:root="true" ma:fieldsID="e45aa18e1b8a0fa93e9fde8702644634" ns2:_="" ns3:_="">
    <xsd:import namespace="008e3b87-2b6f-4754-91c5-38b6e71c06dc"/>
    <xsd:import namespace="a40ce3ce-1b1e-4805-af8a-69f5481a4f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Tarih"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8e3b87-2b6f-4754-91c5-38b6e71c0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Tarih" ma:index="12" nillable="true" ma:displayName="Tarih" ma:format="DateOnly" ma:internalName="Tarih">
      <xsd:simpleType>
        <xsd:restriction base="dms:DateTime"/>
      </xsd:simpleType>
    </xsd:element>
    <xsd:element name="lcf76f155ced4ddcb4097134ff3c332f" ma:index="14" nillable="true" ma:taxonomy="true" ma:internalName="lcf76f155ced4ddcb4097134ff3c332f" ma:taxonomyFieldName="MediaServiceImageTags" ma:displayName="Resim Etiketleri" ma:readOnly="false" ma:fieldId="{5cf76f15-5ced-4ddc-b409-7134ff3c332f}" ma:taxonomyMulti="true" ma:sspId="15108f32-d601-4035-8541-d603673fb50d"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0ce3ce-1b1e-4805-af8a-69f5481a4fc0" elementFormDefault="qualified">
    <xsd:import namespace="http://schemas.microsoft.com/office/2006/documentManagement/types"/>
    <xsd:import namespace="http://schemas.microsoft.com/office/infopath/2007/PartnerControls"/>
    <xsd:element name="TaxCatchAll" ma:index="15" nillable="true" ma:displayName="Tüm Sınıflandırmayı Yakala Sütunu" ma:hidden="true" ma:list="{6d246884-f67c-478c-9d07-9db6d745e2f5}" ma:internalName="TaxCatchAll" ma:showField="CatchAllData" ma:web="a40ce3ce-1b1e-4805-af8a-69f5481a4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rih xmlns="008e3b87-2b6f-4754-91c5-38b6e71c06dc" xsi:nil="true"/>
    <lcf76f155ced4ddcb4097134ff3c332f xmlns="008e3b87-2b6f-4754-91c5-38b6e71c06dc">
      <Terms xmlns="http://schemas.microsoft.com/office/infopath/2007/PartnerControls"/>
    </lcf76f155ced4ddcb4097134ff3c332f>
    <TaxCatchAll xmlns="a40ce3ce-1b1e-4805-af8a-69f5481a4fc0" xsi:nil="true"/>
  </documentManagement>
</p:properties>
</file>

<file path=customXml/itemProps1.xml><?xml version="1.0" encoding="utf-8"?>
<ds:datastoreItem xmlns:ds="http://schemas.openxmlformats.org/officeDocument/2006/customXml" ds:itemID="{2FBFA2A7-6B27-473A-9CCD-96CA1B1BD68F}"/>
</file>

<file path=customXml/itemProps2.xml><?xml version="1.0" encoding="utf-8"?>
<ds:datastoreItem xmlns:ds="http://schemas.openxmlformats.org/officeDocument/2006/customXml" ds:itemID="{925BCEF1-82DE-4163-B0E8-C34A6F7B5A97}"/>
</file>

<file path=customXml/itemProps3.xml><?xml version="1.0" encoding="utf-8"?>
<ds:datastoreItem xmlns:ds="http://schemas.openxmlformats.org/officeDocument/2006/customXml" ds:itemID="{F7F01413-C8EC-456E-B4E7-81A019DD6F13}"/>
</file>

<file path=docProps/app.xml><?xml version="1.0" encoding="utf-8"?>
<Properties xmlns="http://schemas.openxmlformats.org/officeDocument/2006/extended-properties" xmlns:vt="http://schemas.openxmlformats.org/officeDocument/2006/docPropsVTypes">
  <Template>Normal</Template>
  <TotalTime>17</TotalTime>
  <Pages>10</Pages>
  <Words>2381</Words>
  <Characters>17100</Characters>
  <Application>Microsoft Office Word</Application>
  <DocSecurity>0</DocSecurity>
  <Lines>322</Lines>
  <Paragraphs>178</Paragraphs>
  <ScaleCrop>false</ScaleCrop>
  <Company/>
  <LinksUpToDate>false</LinksUpToDate>
  <CharactersWithSpaces>19303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Pelinsu Tuza</dc:creator>
  <cp:keywords/>
  <dc:description/>
  <cp:lastModifiedBy>Pelinsu Tuza</cp:lastModifiedBy>
  <cp:revision>16</cp:revision>
  <dcterms:created xsi:type="dcterms:W3CDTF">2026-04-17T12:10:00Z</dcterms:created>
  <dcterms:modified xsi:type="dcterms:W3CDTF">2026-04-17T16:28:00Z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0x010100BE2FA2FC88FC524789DD26CCF4374E84</vt:lpwstr>
  </property>
</Properties>
</file>