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D29EDD0" w:rsidP="5EEE0871" w:rsidRDefault="2D29EDD0" w14:paraId="306010D9" w14:textId="410E55E6">
      <w:pPr>
        <w:jc w:val="both"/>
        <w:rPr>
          <w:rFonts w:ascii="Arial" w:hAnsi="Arial" w:eastAsia="Arial" w:cs="Arial"/>
          <w:b w:val="0"/>
          <w:bCs w:val="0"/>
          <w:i w:val="0"/>
          <w:iCs w:val="0"/>
          <w:caps w:val="0"/>
          <w:smallCaps w:val="0"/>
          <w:noProof/>
          <w:color w:val="000000" w:themeColor="text1" w:themeTint="FF" w:themeShade="FF"/>
          <w:sz w:val="22"/>
          <w:szCs w:val="22"/>
          <w:lang w:val="tr-TR"/>
        </w:rPr>
      </w:pPr>
      <w:r w:rsidRPr="5EEE0871" w:rsidR="2D29EDD0">
        <w:rPr>
          <w:rFonts w:ascii="Arial" w:hAnsi="Arial" w:eastAsia="Arial" w:cs="Arial"/>
          <w:b w:val="0"/>
          <w:bCs w:val="0"/>
          <w:i w:val="0"/>
          <w:iCs w:val="0"/>
          <w:caps w:val="0"/>
          <w:smallCaps w:val="0"/>
          <w:strike w:val="0"/>
          <w:dstrike w:val="0"/>
          <w:noProof/>
          <w:color w:val="000000" w:themeColor="text1" w:themeTint="FF" w:themeShade="FF"/>
          <w:sz w:val="22"/>
          <w:szCs w:val="22"/>
          <w:u w:val="single"/>
          <w:lang w:val="tr-TR"/>
        </w:rPr>
        <w:t xml:space="preserve">Ege-Çakırca tarafından Eylül 2025- Kasım 2025 tarihleri arasında “Vergi Denetimi, Uyuşmazlıklar ve Stratejik Uyum” konusuna ilişkin olarak kaleme alınan işbu yazılar, yalnızca genel bilgilendirme amacı taşımakta olup, herhangi bir şekilde hukuki görüş, mütalaa veya danışmanlık hizmeti teşkil etmemektedir. </w:t>
      </w:r>
    </w:p>
    <w:p w:rsidR="2D29EDD0" w:rsidP="5EEE0871" w:rsidRDefault="2D29EDD0" w14:paraId="75B76459" w14:textId="21414B27">
      <w:pPr>
        <w:jc w:val="both"/>
        <w:rPr>
          <w:rFonts w:ascii="Arial" w:hAnsi="Arial" w:eastAsia="Arial" w:cs="Arial"/>
          <w:b w:val="0"/>
          <w:bCs w:val="0"/>
          <w:i w:val="0"/>
          <w:iCs w:val="0"/>
          <w:caps w:val="0"/>
          <w:smallCaps w:val="0"/>
          <w:noProof/>
          <w:color w:val="000000" w:themeColor="text1" w:themeTint="FF" w:themeShade="FF"/>
          <w:sz w:val="22"/>
          <w:szCs w:val="22"/>
          <w:lang w:val="tr-TR"/>
        </w:rPr>
      </w:pPr>
      <w:r w:rsidRPr="5EEE0871" w:rsidR="2D29EDD0">
        <w:rPr>
          <w:rFonts w:ascii="Arial" w:hAnsi="Arial" w:eastAsia="Arial" w:cs="Arial"/>
          <w:b w:val="0"/>
          <w:bCs w:val="0"/>
          <w:i w:val="0"/>
          <w:iCs w:val="0"/>
          <w:caps w:val="0"/>
          <w:smallCaps w:val="0"/>
          <w:strike w:val="0"/>
          <w:dstrike w:val="0"/>
          <w:noProof/>
          <w:color w:val="000000" w:themeColor="text1" w:themeTint="FF" w:themeShade="FF"/>
          <w:sz w:val="22"/>
          <w:szCs w:val="22"/>
          <w:u w:val="single"/>
          <w:lang w:val="tr-TR"/>
        </w:rPr>
        <w:t xml:space="preserve">Bu içerikler, belirli bir somut olaya uygulanmak üzere hazırlanmadığından, avukat müvekkil ilişkisinin kurulmasına da yol açmaz. Metinlerde yer alan bilgi ve değerlendirmelerin güncelliği, doğruluğu veya belirli bir amaca uygunluğu konusunda açık ya da zımni herhangi bir taahhüt veya garanti verilmemektedir. </w:t>
      </w:r>
    </w:p>
    <w:p w:rsidR="2D29EDD0" w:rsidP="5EEE0871" w:rsidRDefault="2D29EDD0" w14:paraId="0E4FDA75" w14:textId="31D240E9">
      <w:pPr>
        <w:jc w:val="both"/>
        <w:rPr>
          <w:rFonts w:ascii="Arial" w:hAnsi="Arial" w:eastAsia="Arial" w:cs="Arial"/>
          <w:b w:val="0"/>
          <w:bCs w:val="0"/>
          <w:i w:val="0"/>
          <w:iCs w:val="0"/>
          <w:caps w:val="0"/>
          <w:smallCaps w:val="0"/>
          <w:noProof/>
          <w:color w:val="000000" w:themeColor="text1" w:themeTint="FF" w:themeShade="FF"/>
          <w:sz w:val="22"/>
          <w:szCs w:val="22"/>
          <w:lang w:val="tr-TR"/>
        </w:rPr>
      </w:pPr>
      <w:r w:rsidRPr="5EEE0871" w:rsidR="2D29EDD0">
        <w:rPr>
          <w:rFonts w:ascii="Arial" w:hAnsi="Arial" w:eastAsia="Arial" w:cs="Arial"/>
          <w:b w:val="0"/>
          <w:bCs w:val="0"/>
          <w:i w:val="0"/>
          <w:iCs w:val="0"/>
          <w:caps w:val="0"/>
          <w:smallCaps w:val="0"/>
          <w:strike w:val="0"/>
          <w:dstrike w:val="0"/>
          <w:noProof/>
          <w:color w:val="000000" w:themeColor="text1" w:themeTint="FF" w:themeShade="FF"/>
          <w:sz w:val="22"/>
          <w:szCs w:val="22"/>
          <w:u w:val="single"/>
          <w:lang w:val="tr-TR"/>
        </w:rPr>
        <w:t xml:space="preserve">Bu içeriklere dayanılarak tesis edilecek her türlü işlem öncesinde, somut olayın özellikleri çerçevesinde yetkin bir hukuk uzmanından profesyonel destek alınması gerekmektedir. Aksi yönde yapılacak işlemlerden doğabilecek her türlü risk ve sorumluluk münhasıran ilgili kişiye aittir. </w:t>
      </w:r>
    </w:p>
    <w:p w:rsidR="2D29EDD0" w:rsidP="5EEE0871" w:rsidRDefault="2D29EDD0" w14:paraId="37C7CA8B" w14:textId="3EACF997">
      <w:pPr>
        <w:jc w:val="both"/>
        <w:rPr>
          <w:rFonts w:ascii="Arial" w:hAnsi="Arial" w:eastAsia="Arial" w:cs="Arial"/>
          <w:b w:val="0"/>
          <w:bCs w:val="0"/>
          <w:i w:val="0"/>
          <w:iCs w:val="0"/>
          <w:caps w:val="0"/>
          <w:smallCaps w:val="0"/>
          <w:noProof/>
          <w:color w:val="000000" w:themeColor="text1" w:themeTint="FF" w:themeShade="FF"/>
          <w:sz w:val="22"/>
          <w:szCs w:val="22"/>
          <w:lang w:val="tr-TR"/>
        </w:rPr>
      </w:pPr>
      <w:r w:rsidRPr="5EEE0871" w:rsidR="2D29EDD0">
        <w:rPr>
          <w:rFonts w:ascii="Arial" w:hAnsi="Arial" w:eastAsia="Arial" w:cs="Arial"/>
          <w:b w:val="0"/>
          <w:bCs w:val="0"/>
          <w:i w:val="0"/>
          <w:iCs w:val="0"/>
          <w:caps w:val="0"/>
          <w:smallCaps w:val="0"/>
          <w:strike w:val="0"/>
          <w:dstrike w:val="0"/>
          <w:noProof/>
          <w:color w:val="000000" w:themeColor="text1" w:themeTint="FF" w:themeShade="FF"/>
          <w:sz w:val="22"/>
          <w:szCs w:val="22"/>
          <w:u w:val="single"/>
          <w:lang w:val="tr-TR"/>
        </w:rPr>
        <w:t>İşbu içeriklerin kullanımından, yorumlanmasından veya bunlara dayanılarak alınan kararlardan kaynaklanabilecek doğrudan ya da dolaylı hiçbir zarar ve ziyandan dolayı firmamız, ortakları, çalışanları ve avukatları herhangi bir sorumluluk kabul etmez.</w:t>
      </w:r>
    </w:p>
    <w:p w:rsidR="5EEE0871" w:rsidP="5EEE0871" w:rsidRDefault="5EEE0871" w14:paraId="38B88201" w14:textId="4F31090C">
      <w:pPr>
        <w:spacing w:line="276" w:lineRule="auto"/>
        <w:jc w:val="both"/>
        <w:rPr>
          <w:rFonts w:ascii="Arial" w:hAnsi="Arial" w:eastAsia="Arial" w:cs="Arial"/>
          <w:color w:val="auto"/>
          <w:sz w:val="22"/>
          <w:szCs w:val="22"/>
        </w:rPr>
      </w:pPr>
    </w:p>
    <w:p w:rsidRPr="003C68C7" w:rsidR="00702855" w:rsidP="28855ECB" w:rsidRDefault="007A2FA6" w14:paraId="5FAD815C" w14:textId="54B0B069">
      <w:pPr>
        <w:spacing w:line="276" w:lineRule="auto"/>
        <w:jc w:val="both"/>
        <w:rPr>
          <w:rFonts w:ascii="Arial" w:hAnsi="Arial" w:eastAsia="Arial" w:cs="Arial"/>
          <w:color w:val="auto"/>
          <w:sz w:val="22"/>
          <w:szCs w:val="22"/>
        </w:rPr>
      </w:pPr>
      <w:r w:rsidRPr="28855ECB" w:rsidR="142BF334">
        <w:rPr>
          <w:rFonts w:ascii="Arial" w:hAnsi="Arial" w:eastAsia="Arial" w:cs="Arial"/>
          <w:color w:val="auto"/>
          <w:sz w:val="22"/>
          <w:szCs w:val="22"/>
        </w:rPr>
        <w:t>EYLÜL 2025</w:t>
      </w:r>
      <w:r w:rsidRPr="28855ECB" w:rsidR="142BF334">
        <w:rPr>
          <w:rFonts w:ascii="Arial" w:hAnsi="Arial" w:eastAsia="Arial" w:cs="Arial"/>
          <w:color w:val="auto"/>
          <w:sz w:val="22"/>
          <w:szCs w:val="22"/>
        </w:rPr>
        <w:t> </w:t>
      </w:r>
      <w:r w:rsidRPr="28855ECB" w:rsidR="7BDB1C13">
        <w:rPr>
          <w:rFonts w:ascii="Arial" w:hAnsi="Arial" w:eastAsia="Arial" w:cs="Arial"/>
          <w:color w:val="auto"/>
          <w:sz w:val="22"/>
          <w:szCs w:val="22"/>
        </w:rPr>
        <w:t> </w:t>
      </w:r>
    </w:p>
    <w:p w:rsidR="0593BFE3" w:rsidP="28855ECB" w:rsidRDefault="0593BFE3" w14:paraId="7734547A" w14:textId="0356E888">
      <w:pPr>
        <w:pStyle w:val="Normal"/>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VERGİ DENETİMLERİNDE GÜNCEL DURUM</w:t>
      </w:r>
    </w:p>
    <w:p w:rsidR="0593BFE3" w:rsidP="28855ECB" w:rsidRDefault="0593BFE3" w14:paraId="0CA397DB" w14:textId="4C14A859">
      <w:pPr>
        <w:pStyle w:val="Balk3"/>
        <w:spacing w:before="281" w:beforeAutospacing="off" w:after="281" w:afterAutospacing="off"/>
        <w:jc w:val="both"/>
        <w:rPr>
          <w:rFonts w:ascii="Arial" w:hAnsi="Arial" w:eastAsia="Arial" w:cs="Arial"/>
          <w:b w:val="1"/>
          <w:bCs w:val="1"/>
          <w:noProof w:val="0"/>
          <w:color w:val="auto"/>
          <w:sz w:val="22"/>
          <w:szCs w:val="22"/>
          <w:lang w:val="tr-TR"/>
        </w:rPr>
      </w:pPr>
      <w:r w:rsidRPr="28855ECB" w:rsidR="0593BFE3">
        <w:rPr>
          <w:rFonts w:ascii="Arial" w:hAnsi="Arial" w:eastAsia="Arial" w:cs="Arial"/>
          <w:b w:val="1"/>
          <w:bCs w:val="1"/>
          <w:noProof w:val="0"/>
          <w:color w:val="auto"/>
          <w:sz w:val="22"/>
          <w:szCs w:val="22"/>
          <w:lang w:val="tr-TR"/>
        </w:rPr>
        <w:t>1. Giriş</w:t>
      </w:r>
    </w:p>
    <w:p w:rsidR="0593BFE3" w:rsidP="28855ECB" w:rsidRDefault="0593BFE3" w14:paraId="691C556D" w14:textId="69A0EC9B">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Vergi idareleri tarafından, mükelleflerin eksik veya gerçeğe aykırı beyanda bulunmak suretiyle vergi kaybına yol açmalarını önlemek amacıyla son yıllarda yoğun bir denetim politikası izlenmektedir. Bu kapsamda, mükelleflere doğru ve eksiksiz beyanda bulunmalarını teminen çeşitli yazılar gönderilmekte ve denetim faaliyetleri yürütülmektedir. Önleyici nitelikte gerçekleştirilen bu denetimler sayesinde mükelleflerin cezai yaptırımlarla karşılaşmasının önüne geçilmesi amaçlanmaktadır. Özellikle şirketler ve şirket ortakları inceleme kapsamına alınmaktadır.</w:t>
      </w:r>
    </w:p>
    <w:p w:rsidR="0593BFE3" w:rsidP="28855ECB" w:rsidRDefault="0593BFE3" w14:paraId="20CA5CD9" w14:textId="5F79BE02">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2023-2025 yıllarına ilişkin olarak ülkemizde “Kayıt Dışı Ekonomiyle Mücadele Eylem Planı” uygulanmaktadır. Bu plan kapsamında vergisel yükümlülüklere ilişkin toplumsal bilincin artırılması hedeflenmektedir. Bu çerçevede mükelleflerin vergisel yükümlülüklerini eksiksiz ve süresinde yerine getirmesi amaçlanmaktadır. Mükelleflere yazı gönderilerek vergisel yükümlülükleri hatırlatılmakta ve henüz cezai yaptırım uygulanmadan önce vergi beyanlarını eksiksiz ve süresinde yerine getirmeleri yönünde teşvik edilmektedir.</w:t>
      </w:r>
    </w:p>
    <w:p w:rsidR="0593BFE3" w:rsidP="28855ECB" w:rsidRDefault="0593BFE3" w14:paraId="4DCFC1CD" w14:textId="490B1F0D">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Vergi idareleri tarafından bu kapsamda yürütülen çalışmalar ve denetimler kesintisiz olarak devam etmektedir. Yapılan analizler sonucunda kazançları ile bu kazançlara ilişkin vergisel beyanları arasında uyumsuzluk tespit edilen mükellefler “İzaha Davet ve Gönüllü Uyum” kapsamında açıklamada bulunmaya davet edilmektedir.</w:t>
      </w:r>
    </w:p>
    <w:p w:rsidR="0593BFE3" w:rsidP="28855ECB" w:rsidRDefault="0593BFE3" w14:paraId="116E69B6" w14:textId="0207FCA1">
      <w:pPr>
        <w:pStyle w:val="Balk3"/>
        <w:spacing w:before="281" w:beforeAutospacing="off" w:after="281" w:afterAutospacing="off"/>
        <w:jc w:val="both"/>
        <w:rPr>
          <w:rFonts w:ascii="Arial" w:hAnsi="Arial" w:eastAsia="Arial" w:cs="Arial"/>
          <w:b w:val="1"/>
          <w:bCs w:val="1"/>
          <w:noProof w:val="0"/>
          <w:color w:val="auto"/>
          <w:sz w:val="22"/>
          <w:szCs w:val="22"/>
          <w:lang w:val="tr-TR"/>
        </w:rPr>
      </w:pPr>
      <w:r w:rsidRPr="28855ECB" w:rsidR="0593BFE3">
        <w:rPr>
          <w:rFonts w:ascii="Arial" w:hAnsi="Arial" w:eastAsia="Arial" w:cs="Arial"/>
          <w:b w:val="1"/>
          <w:bCs w:val="1"/>
          <w:noProof w:val="0"/>
          <w:color w:val="auto"/>
          <w:sz w:val="22"/>
          <w:szCs w:val="22"/>
          <w:lang w:val="tr-TR"/>
        </w:rPr>
        <w:t>2. İnceleme Kapsamında Uygulanan Plan</w:t>
      </w:r>
    </w:p>
    <w:p w:rsidR="0593BFE3" w:rsidP="28855ECB" w:rsidRDefault="0593BFE3" w14:paraId="1CB1EF79" w14:textId="2616FB2B">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2023-2025 yıllarına ilişkin olarak ülkemizde “Kayıt Dışı Ekonomiyle Mücadele Eylem Planı” uygulanmaktadır. Bu plan kapsamında vergisel yükümlülüklere ilişkin toplumsal bilincin artırılması hedeflenmektedir. Bu çerçevede mükelleflerin vergisel yükümlülüklerini eksiksiz ve süresinde yerine getirmesi amaçlanmaktadır.</w:t>
      </w:r>
    </w:p>
    <w:p w:rsidR="0593BFE3" w:rsidP="28855ECB" w:rsidRDefault="0593BFE3" w14:paraId="56B04C6F" w14:textId="24C44A48">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Mükelleflere yazı gönderilerek vergisel yükümlülükleri hatırlatılmakta ve henüz cezai yaptırım uygulanmadan önce vergi beyanlarını eksiksiz ve süresinde yerine getirmeleri yönünde teşvik edilmektedir.</w:t>
      </w:r>
    </w:p>
    <w:p w:rsidR="0593BFE3" w:rsidP="28855ECB" w:rsidRDefault="0593BFE3" w14:paraId="2990B4FA" w14:textId="6882F7B5">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Vergi idareleri tarafından bu kapsamda yürütülen çalışmalar ve denetimler kesintisiz olarak devam etmektedir. Yapılan analizler sonucunda kazançları ile bu kazançlara ilişkin vergisel beyanları arasında uyumsuzluk tespit edilen mükellefler “İzaha Davet ve Gönüllü Uyum” kapsamında açıklamada bulunmaya davet edilmektedir.</w:t>
      </w:r>
    </w:p>
    <w:p w:rsidR="0593BFE3" w:rsidP="28855ECB" w:rsidRDefault="0593BFE3" w14:paraId="42E43AA6" w14:textId="15A32506">
      <w:pPr>
        <w:pStyle w:val="Balk3"/>
        <w:spacing w:before="281" w:beforeAutospacing="off" w:after="281" w:afterAutospacing="off"/>
        <w:jc w:val="both"/>
        <w:rPr>
          <w:rFonts w:ascii="Arial" w:hAnsi="Arial" w:eastAsia="Arial" w:cs="Arial"/>
          <w:b w:val="1"/>
          <w:bCs w:val="1"/>
          <w:noProof w:val="0"/>
          <w:color w:val="auto"/>
          <w:sz w:val="22"/>
          <w:szCs w:val="22"/>
          <w:lang w:val="tr-TR"/>
        </w:rPr>
      </w:pPr>
      <w:r w:rsidRPr="28855ECB" w:rsidR="0593BFE3">
        <w:rPr>
          <w:rFonts w:ascii="Arial" w:hAnsi="Arial" w:eastAsia="Arial" w:cs="Arial"/>
          <w:b w:val="1"/>
          <w:bCs w:val="1"/>
          <w:noProof w:val="0"/>
          <w:color w:val="auto"/>
          <w:sz w:val="22"/>
          <w:szCs w:val="22"/>
          <w:lang w:val="tr-TR"/>
        </w:rPr>
        <w:t>3. İnceleme Kapsamında Yapılan İnceleme ve Denetimler</w:t>
      </w:r>
    </w:p>
    <w:p w:rsidR="0593BFE3" w:rsidP="28855ECB" w:rsidRDefault="0593BFE3" w14:paraId="426DAB2C" w14:textId="4CBEC9AC">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Bu kapsamda gerçekleştirilen işlemler;</w:t>
      </w:r>
    </w:p>
    <w:p w:rsidR="0593BFE3" w:rsidP="28855ECB" w:rsidRDefault="0593BFE3" w14:paraId="49E193FD" w14:textId="0BCE95B8">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Kira geliri elde edenler ile beyan edilen kira geliri ile fiili kira geliri arasında uyumsuzluk bulunanlar ya da mülk sahibi olmasına rağmen kira geliri beyan etmeyen kişilere yazı gönderilmiştir. Bu yazılar ile birlikte toplumun bilinçlendirilmesi amacıyla yapılan duyuru ve bilgilendirme faaliyetleri sonucunda, yalnızca kira geliri nedeniyle yıllık beyanname veren mükellef sayısı Şubat 2025 ile Mart 2025 tarihleri arasında 500.000 kişi artış göstermiştir.</w:t>
      </w:r>
    </w:p>
    <w:p w:rsidR="0593BFE3" w:rsidP="28855ECB" w:rsidRDefault="0593BFE3" w14:paraId="7A7DAE92" w14:textId="0143BF62">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Şirketlere ve şirket yetkililerine, kurumlar vergisi bakımından doğru ve eksiksiz beyanda bulunmalarını sağlamak amacıyla Beyanname Gözetim Çalışması kapsamında 40.000 mükellefe yazı gönderilmiştir. Gelir düzeyi yüksek olmasına rağmen 2023 ve 2024 yılları arasında hiç gelir vergisi beyannamesi vermemiş ve gelir, harcama düzeyi ile vergi beyanları arasında uyumsuzluk bulunan 10.000 kişi incelemeye alınarak izaha davet edilmiştir. Halka açık şirketlerden temettü geliri (kâr payı) elde etmesine rağmen beyanname vermeyen kişiler inceleme kapsamına alınmıştır. Gerçek kişiler tarafından 3,6 milyar liralık kâr payının yıllık beyanname ile beyan edilmediği ve buna bağlı olarak yaklaşık 200 milyon liralık verginin ödenmediği tespit edilmiştir. Halka açık şirketlerden beyan sınırının üzerinde hisse senedi kâr payı elde etmesine rağmen gelir vergisi beyannamesi vermeyen kişiler ilgili vergi dairelerine bildirilmiştir.</w:t>
      </w:r>
    </w:p>
    <w:p w:rsidR="0593BFE3" w:rsidP="28855ECB" w:rsidRDefault="0593BFE3" w14:paraId="643AAB2A" w14:textId="1D066753">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Aralarında doktor, avukat, kuaför, kuyumcu gibi meslek gruplarının da bulunduğu mükellef grupları inceleme ve denetime tabi tutularak düşük beyanda bulunanların beyanlarının artırılması sağlanmaya çalışılmıştır. Yapılan incelemeler sonucunda 3.663 doktora yazı gönderilmiş ve bunların 1.701’i gelir vergisi beyannamesi vererek toplam 1,7 milyar lira matrah bildirmiştir.</w:t>
      </w:r>
    </w:p>
    <w:p w:rsidR="0593BFE3" w:rsidP="28855ECB" w:rsidRDefault="0593BFE3" w14:paraId="1B8F186C" w14:textId="38267602">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Çeşitli branşlarda profesyonel faaliyet gösteren sporcular da bu kapsamda incelemeye tabi tutulmuş ve gelirlerini eksiksiz beyan etmeleri sağlanmaya çalışılmıştır. Bu kapsamda 310 sporcu izaha davet edilmiştir. Sporcular arasında çoğunlukla futbolcular bulunmaktadır.</w:t>
      </w:r>
    </w:p>
    <w:p w:rsidR="0593BFE3" w:rsidP="28855ECB" w:rsidRDefault="0593BFE3" w14:paraId="47E2B554" w14:textId="0B72B9F5">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 xml:space="preserve">Gayrimenkul alım-satımı suretiyle gelir elde edenler, Mekânsal Veri Analiz (MEVA) Sistemi aracılığıyla izlenerek 2025 yılında 16.000’den fazla taşınmaz incelenmiş; alım-satım değerleri arasında uyumsuzluk ve gerçeğe aykırılık tespit edilen taşınmazlara ilişkin olarak 9.150 kişiden açıklama talep edilmiştir. Bu açıklama talebi </w:t>
      </w:r>
      <w:r w:rsidRPr="28855ECB" w:rsidR="0593BFE3">
        <w:rPr>
          <w:rFonts w:ascii="Arial" w:hAnsi="Arial" w:eastAsia="Arial" w:cs="Arial"/>
          <w:noProof w:val="0"/>
          <w:color w:val="auto"/>
          <w:sz w:val="22"/>
          <w:szCs w:val="22"/>
          <w:lang w:val="tr-TR"/>
        </w:rPr>
        <w:t>ile birlikte</w:t>
      </w:r>
      <w:r w:rsidRPr="28855ECB" w:rsidR="0593BFE3">
        <w:rPr>
          <w:rFonts w:ascii="Arial" w:hAnsi="Arial" w:eastAsia="Arial" w:cs="Arial"/>
          <w:noProof w:val="0"/>
          <w:color w:val="auto"/>
          <w:sz w:val="22"/>
          <w:szCs w:val="22"/>
          <w:lang w:val="tr-TR"/>
        </w:rPr>
        <w:t xml:space="preserve"> gönüllü olarak düzeltmeler yapılmış ve 5,9 milyar liralık tapu harcı matrahı artırılmıştır.</w:t>
      </w:r>
    </w:p>
    <w:p w:rsidR="0593BFE3" w:rsidP="28855ECB" w:rsidRDefault="0593BFE3" w14:paraId="45058F0E" w14:textId="4591A434">
      <w:pPr>
        <w:pStyle w:val="Balk3"/>
        <w:spacing w:before="281" w:beforeAutospacing="off" w:after="281" w:afterAutospacing="off"/>
        <w:jc w:val="both"/>
        <w:rPr>
          <w:rFonts w:ascii="Arial" w:hAnsi="Arial" w:eastAsia="Arial" w:cs="Arial"/>
          <w:b w:val="1"/>
          <w:bCs w:val="1"/>
          <w:noProof w:val="0"/>
          <w:color w:val="auto"/>
          <w:sz w:val="22"/>
          <w:szCs w:val="22"/>
          <w:lang w:val="tr-TR"/>
        </w:rPr>
      </w:pPr>
      <w:r w:rsidRPr="28855ECB" w:rsidR="0593BFE3">
        <w:rPr>
          <w:rFonts w:ascii="Arial" w:hAnsi="Arial" w:eastAsia="Arial" w:cs="Arial"/>
          <w:b w:val="1"/>
          <w:bCs w:val="1"/>
          <w:noProof w:val="0"/>
          <w:color w:val="auto"/>
          <w:sz w:val="22"/>
          <w:szCs w:val="22"/>
          <w:lang w:val="tr-TR"/>
        </w:rPr>
        <w:t>4. İncelemeler Kapsamında Mükelleflerin Yapması Gerekenler</w:t>
      </w:r>
    </w:p>
    <w:p w:rsidR="0593BFE3" w:rsidP="28855ECB" w:rsidRDefault="0593BFE3" w14:paraId="02AA7C3D" w14:textId="2221DD43">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Vergi Usul Kanunu’nda düzenlenen “İzaha Davet” müessesesi kapsamında mükelleflerin, hukuki destek alarak Vergi İdaresi ile görüşme yapmadan ve herhangi bir bildirimde bulunmadan önce detaylı bilgi edinmeleri gerekmektedir. Elde edilen bilgi ve yapılan değerlendirmeler doğrultusunda, izahta bulunma konusunda mükellefin menfaatine en uygun şekilde hareket edilmelidir.</w:t>
      </w:r>
    </w:p>
    <w:p w:rsidR="0593BFE3" w:rsidP="28855ECB" w:rsidRDefault="0593BFE3" w14:paraId="731B70D9" w14:textId="17748BF9">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Açıklamaların süresi içerisinde ve gerekli belgelerle birlikte yapılması gerekmektedir.</w:t>
      </w:r>
    </w:p>
    <w:p w:rsidR="0593BFE3" w:rsidP="28855ECB" w:rsidRDefault="0593BFE3" w14:paraId="401AB523" w14:textId="7FBCC2D2">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Mükellef tarafından yapılan izahın kabul edilmesi ve bu kapsamda gerekli teknik ve hukuki işlemlerin eksiksiz yerine getirilmesi halinde, idare tarafından 30 gün içerisinde izahın yeterli bulunduğu ve kabul edildiği mükellefe tebliğ edilir. Bu durumda mükellefin vergi incelemesine veya takdir komisyonuna sevk edilmeyeceği ve herhangi bir cezai yaptırım uygulanmayacağı belirtilir.</w:t>
      </w:r>
    </w:p>
    <w:p w:rsidR="0593BFE3" w:rsidP="28855ECB" w:rsidRDefault="0593BFE3" w14:paraId="5E767419" w14:textId="2516BAE7">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 xml:space="preserve">Mükellef tarafından yapılan izahın yeterli bulunmaması halinde ise mükellefe, komisyon tarafından 30 günlük süre verilerek vergi beyanında bulunması gerektiği bildirilir. Bu durumda 30 gün içerisinde beyanname verilmesi veya verilen beyannamenin düzeltilmesi halinde, belirli şartların sağlanması kaydıyla vergi </w:t>
      </w:r>
      <w:r w:rsidRPr="28855ECB" w:rsidR="0593BFE3">
        <w:rPr>
          <w:rFonts w:ascii="Arial" w:hAnsi="Arial" w:eastAsia="Arial" w:cs="Arial"/>
          <w:noProof w:val="0"/>
          <w:color w:val="auto"/>
          <w:sz w:val="22"/>
          <w:szCs w:val="22"/>
          <w:lang w:val="tr-TR"/>
        </w:rPr>
        <w:t>ziyaı</w:t>
      </w:r>
      <w:r w:rsidRPr="28855ECB" w:rsidR="0593BFE3">
        <w:rPr>
          <w:rFonts w:ascii="Arial" w:hAnsi="Arial" w:eastAsia="Arial" w:cs="Arial"/>
          <w:noProof w:val="0"/>
          <w:color w:val="auto"/>
          <w:sz w:val="22"/>
          <w:szCs w:val="22"/>
          <w:lang w:val="tr-TR"/>
        </w:rPr>
        <w:t xml:space="preserve"> cezası indirimli olarak uygulanmaktadır.</w:t>
      </w:r>
    </w:p>
    <w:p w:rsidR="0593BFE3" w:rsidP="28855ECB" w:rsidRDefault="0593BFE3" w14:paraId="6C32B077" w14:textId="7AFCB0DB">
      <w:pPr>
        <w:pStyle w:val="Balk3"/>
        <w:spacing w:before="281" w:beforeAutospacing="off" w:after="281" w:afterAutospacing="off"/>
        <w:jc w:val="both"/>
        <w:rPr>
          <w:rFonts w:ascii="Arial" w:hAnsi="Arial" w:eastAsia="Arial" w:cs="Arial"/>
          <w:b w:val="1"/>
          <w:bCs w:val="1"/>
          <w:noProof w:val="0"/>
          <w:color w:val="auto"/>
          <w:sz w:val="22"/>
          <w:szCs w:val="22"/>
          <w:lang w:val="tr-TR"/>
        </w:rPr>
      </w:pPr>
      <w:r w:rsidRPr="28855ECB" w:rsidR="0593BFE3">
        <w:rPr>
          <w:rFonts w:ascii="Arial" w:hAnsi="Arial" w:eastAsia="Arial" w:cs="Arial"/>
          <w:b w:val="1"/>
          <w:bCs w:val="1"/>
          <w:noProof w:val="0"/>
          <w:color w:val="auto"/>
          <w:sz w:val="22"/>
          <w:szCs w:val="22"/>
          <w:lang w:val="tr-TR"/>
        </w:rPr>
        <w:t>5. Denetimlere İlişkin Sonuç ve Durum Değerlendirmesi</w:t>
      </w:r>
    </w:p>
    <w:p w:rsidR="0593BFE3" w:rsidP="28855ECB" w:rsidRDefault="0593BFE3" w14:paraId="45882C67" w14:textId="41E64F54">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Kayıt dışı gelirler nedeniyle oluşan vergi kaybının önlenmesi amacıyla önemli adımlar atılmaktadır. Teknolojik imkânlar, özellikle yapay zekâ destekli analiz yöntemleri kullanılarak veriler değerlendirilmekte ve kapsamlı analizler gerçekleştirilmektedir.</w:t>
      </w:r>
    </w:p>
    <w:p w:rsidR="0593BFE3" w:rsidP="28855ECB" w:rsidRDefault="0593BFE3" w14:paraId="3E5608A3" w14:textId="6D40174A">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Yürütülen denetimler ve bu kapsamda yapılan çalışmalar ile vergide adaletin sağlanması ve mükelleflerin vergisel yükümlülüklerini yerine getirmesi hedeflenmektedir. Gelire göre vergilendirme ilkesi esas alınmakta; yüksek gelir elde edenlerden daha fazla, düşük gelir elde edenlerden ise daha az vergi alınması amaçlanmaktadır.</w:t>
      </w:r>
    </w:p>
    <w:p w:rsidR="0593BFE3" w:rsidP="28855ECB" w:rsidRDefault="0593BFE3" w14:paraId="7D6758D5" w14:textId="7430AF4C">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Bu kapsamda, gelir düzeyi yüksek olan bireylere doğrudan cezai yaptırım uygulanması yerine, gönüllü uyum çalışmaları ve akabinde izaha davet müessesesi yoluyla önleyici denetim yöntemi tercih edilmektedir.</w:t>
      </w:r>
    </w:p>
    <w:p w:rsidR="0593BFE3" w:rsidP="28855ECB" w:rsidRDefault="0593BFE3" w14:paraId="45B717DF" w14:textId="75F4E97E">
      <w:pPr>
        <w:spacing w:before="240" w:beforeAutospacing="off" w:after="240" w:afterAutospacing="off"/>
        <w:jc w:val="both"/>
        <w:rPr>
          <w:rFonts w:ascii="Arial" w:hAnsi="Arial" w:eastAsia="Arial" w:cs="Arial"/>
          <w:noProof w:val="0"/>
          <w:color w:val="auto"/>
          <w:sz w:val="22"/>
          <w:szCs w:val="22"/>
          <w:lang w:val="tr-TR"/>
        </w:rPr>
      </w:pPr>
      <w:r w:rsidRPr="28855ECB" w:rsidR="0593BFE3">
        <w:rPr>
          <w:rFonts w:ascii="Arial" w:hAnsi="Arial" w:eastAsia="Arial" w:cs="Arial"/>
          <w:noProof w:val="0"/>
          <w:color w:val="auto"/>
          <w:sz w:val="22"/>
          <w:szCs w:val="22"/>
          <w:lang w:val="tr-TR"/>
        </w:rPr>
        <w:t>Hem önleyici denetim faaliyetleri hem de sonrasında yürütülen denetim ve incelemeler ile toplumsal vergi bilincinin artırıldığı görülmektedir.</w:t>
      </w:r>
    </w:p>
    <w:p w:rsidR="28855ECB" w:rsidP="28855ECB" w:rsidRDefault="28855ECB" w14:paraId="24AA6A46" w14:textId="02D5D980">
      <w:pPr>
        <w:pStyle w:val="paragraph"/>
        <w:spacing w:before="0" w:beforeAutospacing="off" w:after="0" w:afterAutospacing="off" w:line="276" w:lineRule="auto"/>
        <w:jc w:val="both"/>
        <w:rPr>
          <w:rStyle w:val="eop"/>
          <w:rFonts w:ascii="Arial" w:hAnsi="Arial" w:eastAsia="Arial" w:cs="Arial"/>
          <w:color w:val="auto"/>
          <w:sz w:val="22"/>
          <w:szCs w:val="22"/>
        </w:rPr>
      </w:pPr>
    </w:p>
    <w:p w:rsidRPr="003C68C7" w:rsidR="00C234F3" w:rsidP="28855ECB" w:rsidRDefault="00C234F3" w14:paraId="2960750A" w14:textId="662A3CEA">
      <w:pPr>
        <w:spacing w:line="276" w:lineRule="auto"/>
        <w:jc w:val="both"/>
        <w:rPr>
          <w:rFonts w:ascii="Arial" w:hAnsi="Arial" w:eastAsia="Arial" w:cs="Arial"/>
          <w:b w:val="1"/>
          <w:bCs w:val="1"/>
          <w:color w:val="auto"/>
          <w:sz w:val="22"/>
          <w:szCs w:val="22"/>
        </w:rPr>
      </w:pPr>
      <w:r w:rsidRPr="28855ECB">
        <w:rPr>
          <w:rFonts w:ascii="Arial" w:hAnsi="Arial" w:eastAsia="Arial" w:cs="Arial"/>
          <w:b w:val="1"/>
          <w:bCs w:val="1"/>
          <w:color w:val="auto"/>
          <w:sz w:val="22"/>
          <w:szCs w:val="22"/>
        </w:rPr>
        <w:br w:type="page"/>
      </w:r>
    </w:p>
    <w:p w:rsidRPr="003C68C7" w:rsidR="00B84802" w:rsidP="28855ECB" w:rsidRDefault="00B84802" w14:paraId="76561565" w14:textId="5C1EBAEA">
      <w:pPr>
        <w:pStyle w:val="paragraph"/>
        <w:spacing w:before="240" w:beforeAutospacing="off" w:after="240" w:afterAutospacing="off" w:line="276" w:lineRule="auto"/>
        <w:ind/>
        <w:jc w:val="both"/>
        <w:textAlignment w:val="baseline"/>
        <w:rPr>
          <w:rFonts w:ascii="Arial" w:hAnsi="Arial" w:eastAsia="Arial" w:cs="Arial"/>
          <w:b w:val="1"/>
          <w:bCs w:val="1"/>
          <w:noProof w:val="0"/>
          <w:color w:val="auto"/>
          <w:sz w:val="22"/>
          <w:szCs w:val="22"/>
          <w:lang w:val="tr-TR"/>
        </w:rPr>
      </w:pPr>
      <w:r w:rsidRPr="28855ECB" w:rsidR="5E80B7E4">
        <w:rPr>
          <w:rStyle w:val="normaltextrun"/>
          <w:rFonts w:ascii="Arial" w:hAnsi="Arial" w:eastAsia="Arial" w:cs="Arial"/>
          <w:b w:val="1"/>
          <w:bCs w:val="1"/>
          <w:color w:val="auto"/>
          <w:sz w:val="22"/>
          <w:szCs w:val="22"/>
        </w:rPr>
        <w:t>EYLÜL 2025</w:t>
      </w:r>
      <w:r w:rsidRPr="28855ECB" w:rsidR="48B9ED0B">
        <w:rPr>
          <w:rFonts w:ascii="Arial" w:hAnsi="Arial" w:eastAsia="Arial" w:cs="Arial"/>
          <w:b w:val="1"/>
          <w:bCs w:val="1"/>
          <w:noProof w:val="0"/>
          <w:color w:val="auto"/>
          <w:sz w:val="22"/>
          <w:szCs w:val="22"/>
          <w:lang w:val="tr-TR"/>
        </w:rPr>
        <w:t xml:space="preserve"> </w:t>
      </w:r>
    </w:p>
    <w:p w:rsidRPr="003C68C7" w:rsidR="00B84802" w:rsidP="28855ECB" w:rsidRDefault="00B84802" w14:paraId="3CCB50B0" w14:textId="2560EDB2">
      <w:pPr>
        <w:pStyle w:val="paragraph"/>
        <w:spacing w:before="240" w:beforeAutospacing="off" w:after="240" w:afterAutospacing="off" w:line="276" w:lineRule="auto"/>
        <w:ind/>
        <w:jc w:val="both"/>
        <w:textAlignment w:val="baseline"/>
        <w:rPr>
          <w:rFonts w:ascii="Arial" w:hAnsi="Arial" w:eastAsia="Arial" w:cs="Arial"/>
          <w:b w:val="1"/>
          <w:bCs w:val="1"/>
          <w:noProof w:val="0"/>
          <w:color w:val="auto"/>
          <w:sz w:val="22"/>
          <w:szCs w:val="22"/>
          <w:lang w:val="tr-TR"/>
        </w:rPr>
      </w:pPr>
      <w:r w:rsidRPr="28855ECB" w:rsidR="48B9ED0B">
        <w:rPr>
          <w:rFonts w:ascii="Arial" w:hAnsi="Arial" w:eastAsia="Arial" w:cs="Arial"/>
          <w:b w:val="1"/>
          <w:bCs w:val="1"/>
          <w:noProof w:val="0"/>
          <w:color w:val="auto"/>
          <w:sz w:val="22"/>
          <w:szCs w:val="22"/>
          <w:lang w:val="tr-TR"/>
        </w:rPr>
        <w:t>VERGİ UYUŞMAZLIKLARINDA KANUNİ YOLLAR</w:t>
      </w:r>
    </w:p>
    <w:p w:rsidRPr="003C68C7" w:rsidR="00B84802" w:rsidP="28855ECB" w:rsidRDefault="00B84802" w14:paraId="38C9329E" w14:textId="7EB2D480">
      <w:pPr>
        <w:spacing w:before="240" w:beforeAutospacing="off" w:after="240" w:afterAutospacing="off" w:line="276" w:lineRule="auto"/>
        <w:ind/>
        <w:jc w:val="both"/>
        <w:textAlignment w:val="baseline"/>
        <w:rPr>
          <w:rFonts w:ascii="Arial" w:hAnsi="Arial" w:eastAsia="Arial" w:cs="Arial"/>
          <w:noProof w:val="0"/>
          <w:color w:val="auto"/>
          <w:sz w:val="22"/>
          <w:szCs w:val="22"/>
          <w:lang w:val="tr-TR"/>
        </w:rPr>
      </w:pPr>
      <w:r w:rsidRPr="28855ECB" w:rsidR="48B9ED0B">
        <w:rPr>
          <w:rFonts w:ascii="Arial" w:hAnsi="Arial" w:eastAsia="Arial" w:cs="Arial"/>
          <w:noProof w:val="0"/>
          <w:color w:val="auto"/>
          <w:sz w:val="22"/>
          <w:szCs w:val="22"/>
          <w:lang w:val="tr-TR"/>
        </w:rPr>
        <w:t xml:space="preserve">Vergi uyuşmazlıkları, mükellef ile vergi idaresi arasında ortaya çıkan başlıca ihtilaf alanlarından biridir. Verginin tarhı, tahakkuku, tahsili veya vergi cezalarının uygulanması süreçlerinde yapılan hatalar ya da farklı hukuki yorumlar, taraflar arasında uyuşmazlığa yol açabilmektedir. Vergi Usul Kanunu (VUK), bu uyuşmazlıkların çözümü amacıyla hem idari hem de yargısal aşamalarda başvuru yolları öngörmüş; ayrıca mükellef haklarının korunmasına yönelik düzenlemeler ihdas etmiştir. Bu </w:t>
      </w:r>
      <w:r w:rsidRPr="28855ECB" w:rsidR="48B9ED0B">
        <w:rPr>
          <w:rFonts w:ascii="Arial" w:hAnsi="Arial" w:eastAsia="Arial" w:cs="Arial"/>
          <w:noProof w:val="0"/>
          <w:color w:val="auto"/>
          <w:sz w:val="22"/>
          <w:szCs w:val="22"/>
          <w:lang w:val="tr-TR"/>
        </w:rPr>
        <w:t>suretle,</w:t>
      </w:r>
      <w:r w:rsidRPr="28855ECB" w:rsidR="48B9ED0B">
        <w:rPr>
          <w:rFonts w:ascii="Arial" w:hAnsi="Arial" w:eastAsia="Arial" w:cs="Arial"/>
          <w:noProof w:val="0"/>
          <w:color w:val="auto"/>
          <w:sz w:val="22"/>
          <w:szCs w:val="22"/>
          <w:lang w:val="tr-TR"/>
        </w:rPr>
        <w:t xml:space="preserve"> hem vergi idaresi hem de mükellefler açısından öngörülebilir, hukuka uygun ve denetlenebilir bir sürecin işletilmesi amaçlanmaktadır.</w:t>
      </w:r>
    </w:p>
    <w:p w:rsidRPr="003C68C7" w:rsidR="00B84802" w:rsidP="28855ECB" w:rsidRDefault="00B84802" w14:paraId="6C3311CE" w14:textId="71F90AFC">
      <w:pPr>
        <w:pStyle w:val="Balk3"/>
        <w:spacing w:before="281" w:beforeAutospacing="off" w:after="281" w:afterAutospacing="off" w:line="276" w:lineRule="auto"/>
        <w:ind/>
        <w:jc w:val="both"/>
        <w:textAlignment w:val="baseline"/>
        <w:rPr>
          <w:rFonts w:ascii="Arial" w:hAnsi="Arial" w:eastAsia="Arial" w:cs="Arial"/>
          <w:b w:val="1"/>
          <w:bCs w:val="1"/>
          <w:noProof w:val="0"/>
          <w:color w:val="auto"/>
          <w:sz w:val="22"/>
          <w:szCs w:val="22"/>
          <w:lang w:val="tr-TR"/>
        </w:rPr>
      </w:pPr>
      <w:r w:rsidRPr="28855ECB" w:rsidR="48B9ED0B">
        <w:rPr>
          <w:rFonts w:ascii="Arial" w:hAnsi="Arial" w:eastAsia="Arial" w:cs="Arial"/>
          <w:b w:val="1"/>
          <w:bCs w:val="1"/>
          <w:noProof w:val="0"/>
          <w:color w:val="auto"/>
          <w:sz w:val="22"/>
          <w:szCs w:val="22"/>
          <w:lang w:val="tr-TR"/>
        </w:rPr>
        <w:t>Vergi Hataları ve Düzeltme Yolu</w:t>
      </w:r>
    </w:p>
    <w:p w:rsidRPr="003C68C7" w:rsidR="00B84802" w:rsidP="28855ECB" w:rsidRDefault="00B84802" w14:paraId="311D29D6" w14:textId="765DCC65">
      <w:pPr>
        <w:spacing w:before="240" w:beforeAutospacing="off" w:after="240" w:afterAutospacing="off" w:line="276" w:lineRule="auto"/>
        <w:ind/>
        <w:jc w:val="both"/>
        <w:textAlignment w:val="baseline"/>
        <w:rPr>
          <w:rFonts w:ascii="Arial" w:hAnsi="Arial" w:eastAsia="Arial" w:cs="Arial"/>
          <w:noProof w:val="0"/>
          <w:color w:val="auto"/>
          <w:sz w:val="22"/>
          <w:szCs w:val="22"/>
          <w:lang w:val="tr-TR"/>
        </w:rPr>
      </w:pPr>
      <w:r w:rsidRPr="28855ECB" w:rsidR="48B9ED0B">
        <w:rPr>
          <w:rFonts w:ascii="Arial" w:hAnsi="Arial" w:eastAsia="Arial" w:cs="Arial"/>
          <w:noProof w:val="0"/>
          <w:color w:val="auto"/>
          <w:sz w:val="22"/>
          <w:szCs w:val="22"/>
          <w:lang w:val="tr-TR"/>
        </w:rPr>
        <w:t>Bu gibi durumlarda mükellef, VUK’un 122. maddesi uyarınca vergi dairesine başvurarak düzeltme talebinde bulunabilir. Düzeltme müessesesi, idari aşamada tesis edilen hatalı işlemin giderilmesi bakımından en hızlı ve pratik başvuru yollarından biridir.</w:t>
      </w:r>
    </w:p>
    <w:p w:rsidRPr="003C68C7" w:rsidR="00B84802" w:rsidP="28855ECB" w:rsidRDefault="00B84802" w14:paraId="40DB739B" w14:textId="7E5D8359">
      <w:pPr>
        <w:spacing w:before="240" w:beforeAutospacing="off" w:after="240" w:afterAutospacing="off" w:line="276" w:lineRule="auto"/>
        <w:ind/>
        <w:jc w:val="both"/>
        <w:textAlignment w:val="baseline"/>
        <w:rPr>
          <w:rFonts w:ascii="Arial" w:hAnsi="Arial" w:eastAsia="Arial" w:cs="Arial"/>
          <w:noProof w:val="0"/>
          <w:color w:val="auto"/>
          <w:sz w:val="22"/>
          <w:szCs w:val="22"/>
          <w:lang w:val="tr-TR"/>
        </w:rPr>
      </w:pPr>
      <w:r w:rsidRPr="28855ECB" w:rsidR="48B9ED0B">
        <w:rPr>
          <w:rFonts w:ascii="Arial" w:hAnsi="Arial" w:eastAsia="Arial" w:cs="Arial"/>
          <w:noProof w:val="0"/>
          <w:color w:val="auto"/>
          <w:sz w:val="22"/>
          <w:szCs w:val="22"/>
          <w:lang w:val="tr-TR"/>
        </w:rPr>
        <w:t>Düzeltme talebinin reddedilmesi halinde, dava açma süresi henüz dolmamış ise mükellef tarafından vergi mahkemesinde dava açılması mümkündür. Ancak dava açma süresinin geçmesinden sonra yapılan düzeltme taleplerinin reddi durumunda, VUK’un 124. maddesi kapsamında şikâyet yoluna başvurularak Hazine ve Maliye Bakanlığı nezdinde inceleme yapılması talep edilebilir. Bu suretle hatalı işlemin yargı yoluna başvurulmaksızın idari aşamada giderilmesi sağlanabilmektedir.</w:t>
      </w:r>
    </w:p>
    <w:p w:rsidRPr="003C68C7" w:rsidR="00B84802" w:rsidP="28855ECB" w:rsidRDefault="00B84802" w14:paraId="61BB6D83" w14:textId="5FBBE514">
      <w:pPr>
        <w:pStyle w:val="Balk3"/>
        <w:spacing w:before="281" w:beforeAutospacing="off" w:after="281" w:afterAutospacing="off" w:line="276" w:lineRule="auto"/>
        <w:ind/>
        <w:jc w:val="both"/>
        <w:textAlignment w:val="baseline"/>
        <w:rPr>
          <w:rFonts w:ascii="Arial" w:hAnsi="Arial" w:eastAsia="Arial" w:cs="Arial"/>
          <w:b w:val="1"/>
          <w:bCs w:val="1"/>
          <w:noProof w:val="0"/>
          <w:color w:val="auto"/>
          <w:sz w:val="22"/>
          <w:szCs w:val="22"/>
          <w:lang w:val="tr-TR"/>
        </w:rPr>
      </w:pPr>
      <w:r w:rsidRPr="28855ECB" w:rsidR="48B9ED0B">
        <w:rPr>
          <w:rFonts w:ascii="Arial" w:hAnsi="Arial" w:eastAsia="Arial" w:cs="Arial"/>
          <w:b w:val="1"/>
          <w:bCs w:val="1"/>
          <w:noProof w:val="0"/>
          <w:color w:val="auto"/>
          <w:sz w:val="22"/>
          <w:szCs w:val="22"/>
          <w:lang w:val="tr-TR"/>
        </w:rPr>
        <w:t>Uzlaşma Kurumu</w:t>
      </w:r>
    </w:p>
    <w:p w:rsidRPr="003C68C7" w:rsidR="00B84802" w:rsidP="28855ECB" w:rsidRDefault="00B84802" w14:paraId="4D307BA7" w14:textId="3EA986CB">
      <w:pPr>
        <w:spacing w:before="240" w:beforeAutospacing="off" w:after="240" w:afterAutospacing="off" w:line="276" w:lineRule="auto"/>
        <w:ind/>
        <w:jc w:val="both"/>
        <w:textAlignment w:val="baseline"/>
        <w:rPr>
          <w:rFonts w:ascii="Arial" w:hAnsi="Arial" w:eastAsia="Arial" w:cs="Arial"/>
          <w:noProof w:val="0"/>
          <w:color w:val="auto"/>
          <w:sz w:val="22"/>
          <w:szCs w:val="22"/>
          <w:lang w:val="tr-TR"/>
        </w:rPr>
      </w:pPr>
      <w:r w:rsidRPr="28855ECB" w:rsidR="48B9ED0B">
        <w:rPr>
          <w:rFonts w:ascii="Arial" w:hAnsi="Arial" w:eastAsia="Arial" w:cs="Arial"/>
          <w:noProof w:val="0"/>
          <w:color w:val="auto"/>
          <w:sz w:val="22"/>
          <w:szCs w:val="22"/>
          <w:lang w:val="tr-TR"/>
        </w:rPr>
        <w:t>Vergi uyuşmazlıklarında sıklıkla başvurulan yollardan biri uzlaşma müessesesidir. Vergi Usul Kanunu’nun 376. maddesi, vergi cezalarında indirim imkânı tanımakta; 379. maddesi ise “tarhiyat sonrası uzlaşma” müessesesini düzenlemektedir.</w:t>
      </w:r>
    </w:p>
    <w:p w:rsidRPr="003C68C7" w:rsidR="00B84802" w:rsidP="28855ECB" w:rsidRDefault="00B84802" w14:paraId="75E6E429" w14:textId="0711BCE1">
      <w:pPr>
        <w:spacing w:before="240" w:beforeAutospacing="off" w:after="240" w:afterAutospacing="off" w:line="276" w:lineRule="auto"/>
        <w:ind/>
        <w:jc w:val="both"/>
        <w:textAlignment w:val="baseline"/>
        <w:rPr>
          <w:rFonts w:ascii="Arial" w:hAnsi="Arial" w:eastAsia="Arial" w:cs="Arial"/>
          <w:noProof w:val="0"/>
          <w:color w:val="auto"/>
          <w:sz w:val="22"/>
          <w:szCs w:val="22"/>
          <w:lang w:val="tr-TR"/>
        </w:rPr>
      </w:pPr>
      <w:r w:rsidRPr="28855ECB" w:rsidR="48B9ED0B">
        <w:rPr>
          <w:rFonts w:ascii="Arial" w:hAnsi="Arial" w:eastAsia="Arial" w:cs="Arial"/>
          <w:noProof w:val="0"/>
          <w:color w:val="auto"/>
          <w:sz w:val="22"/>
          <w:szCs w:val="22"/>
          <w:lang w:val="tr-TR"/>
        </w:rPr>
        <w:t>Uzlaşma yoluyla mükellef ile idare belirli bir tutar üzerinde mutabakata vararak uyuşmazlığı sona erdirir. Uzlaşmanın sağlanması halinde vergi ve cezalar kesinleşmekte olup aynı konuda yeniden dava açılması mümkün değildir. Bu mekanizma, idare bakımından yargı yükünün azaltılmasına katkı sağlarken, mükellef açısından hukuki belirsizliğin ortadan kaldırılmasına hizmet etmektedir. Ancak mükelleflerin, uzlaşmayı kabul etmeleri halinde yargı yoluna başvurma imkânlarının ortadan kalkacağını dikkate alarak karar vermeleri önem arz etmektedir.</w:t>
      </w:r>
    </w:p>
    <w:p w:rsidRPr="003C68C7" w:rsidR="00B84802" w:rsidP="28855ECB" w:rsidRDefault="00B84802" w14:paraId="57AA04D7" w14:textId="4861875A">
      <w:pPr>
        <w:pStyle w:val="Balk3"/>
        <w:spacing w:before="281" w:beforeAutospacing="off" w:after="281" w:afterAutospacing="off" w:line="276" w:lineRule="auto"/>
        <w:ind/>
        <w:jc w:val="both"/>
        <w:textAlignment w:val="baseline"/>
        <w:rPr>
          <w:rFonts w:ascii="Arial" w:hAnsi="Arial" w:eastAsia="Arial" w:cs="Arial"/>
          <w:b w:val="1"/>
          <w:bCs w:val="1"/>
          <w:noProof w:val="0"/>
          <w:color w:val="auto"/>
          <w:sz w:val="22"/>
          <w:szCs w:val="22"/>
          <w:lang w:val="tr-TR"/>
        </w:rPr>
      </w:pPr>
      <w:r w:rsidRPr="28855ECB" w:rsidR="48B9ED0B">
        <w:rPr>
          <w:rFonts w:ascii="Arial" w:hAnsi="Arial" w:eastAsia="Arial" w:cs="Arial"/>
          <w:b w:val="1"/>
          <w:bCs w:val="1"/>
          <w:noProof w:val="0"/>
          <w:color w:val="auto"/>
          <w:sz w:val="22"/>
          <w:szCs w:val="22"/>
          <w:lang w:val="tr-TR"/>
        </w:rPr>
        <w:t>Yargı Yolu</w:t>
      </w:r>
    </w:p>
    <w:p w:rsidRPr="003C68C7" w:rsidR="00B84802" w:rsidP="28855ECB" w:rsidRDefault="00B84802" w14:paraId="4792BFCA" w14:textId="07025F38">
      <w:pPr>
        <w:spacing w:before="240" w:beforeAutospacing="off" w:after="240" w:afterAutospacing="off" w:line="276" w:lineRule="auto"/>
        <w:ind/>
        <w:jc w:val="both"/>
        <w:textAlignment w:val="baseline"/>
        <w:rPr>
          <w:rFonts w:ascii="Arial" w:hAnsi="Arial" w:eastAsia="Arial" w:cs="Arial"/>
          <w:noProof w:val="0"/>
          <w:color w:val="auto"/>
          <w:sz w:val="22"/>
          <w:szCs w:val="22"/>
          <w:lang w:val="tr-TR"/>
        </w:rPr>
      </w:pPr>
      <w:r w:rsidRPr="28855ECB" w:rsidR="48B9ED0B">
        <w:rPr>
          <w:rFonts w:ascii="Arial" w:hAnsi="Arial" w:eastAsia="Arial" w:cs="Arial"/>
          <w:noProof w:val="0"/>
          <w:color w:val="auto"/>
          <w:sz w:val="22"/>
          <w:szCs w:val="22"/>
          <w:lang w:val="tr-TR"/>
        </w:rPr>
        <w:t>İdari başvuru yollarının sonuç vermemesi veya mükellefin doğrudan yargı yoluna başvurmak istemesi halinde, yargısal süreç gündeme gelmektedir. VUK’un 377. maddesi uyarınca mükellefler ve kendilerine vergi cezası kesilen kişiler vergi mahkemelerinde dava açabilir.</w:t>
      </w:r>
    </w:p>
    <w:p w:rsidRPr="003C68C7" w:rsidR="00B84802" w:rsidP="28855ECB" w:rsidRDefault="00B84802" w14:paraId="40535A9E" w14:textId="5D7D06B4">
      <w:pPr>
        <w:spacing w:before="240" w:beforeAutospacing="off" w:after="240" w:afterAutospacing="off" w:line="276" w:lineRule="auto"/>
        <w:ind/>
        <w:jc w:val="both"/>
        <w:textAlignment w:val="baseline"/>
        <w:rPr>
          <w:rFonts w:ascii="Arial" w:hAnsi="Arial" w:eastAsia="Arial" w:cs="Arial"/>
          <w:noProof w:val="0"/>
          <w:color w:val="auto"/>
          <w:sz w:val="22"/>
          <w:szCs w:val="22"/>
          <w:lang w:val="tr-TR"/>
        </w:rPr>
      </w:pPr>
      <w:r w:rsidRPr="28855ECB" w:rsidR="48B9ED0B">
        <w:rPr>
          <w:rFonts w:ascii="Arial" w:hAnsi="Arial" w:eastAsia="Arial" w:cs="Arial"/>
          <w:noProof w:val="0"/>
          <w:color w:val="auto"/>
          <w:sz w:val="22"/>
          <w:szCs w:val="22"/>
          <w:lang w:val="tr-TR"/>
        </w:rPr>
        <w:t>2577 sayılı İdari Yargılama Usulü Kanunu’nun 7. maddesi uyarınca, söz konusu dava, vergi veya ceza ihbarnamesinin tebliğ tarihinden itibaren 30 gün içinde açılmalıdır.</w:t>
      </w:r>
    </w:p>
    <w:p w:rsidRPr="003C68C7" w:rsidR="00B84802" w:rsidP="28855ECB" w:rsidRDefault="00B84802" w14:paraId="2B728BFE" w14:textId="08B281F7">
      <w:pPr>
        <w:spacing w:before="240" w:beforeAutospacing="off" w:after="240" w:afterAutospacing="off" w:line="276" w:lineRule="auto"/>
        <w:ind/>
        <w:jc w:val="both"/>
        <w:textAlignment w:val="baseline"/>
        <w:rPr>
          <w:rFonts w:ascii="Arial" w:hAnsi="Arial" w:eastAsia="Arial" w:cs="Arial"/>
          <w:b w:val="1"/>
          <w:bCs w:val="1"/>
          <w:noProof w:val="0"/>
          <w:color w:val="auto"/>
          <w:sz w:val="22"/>
          <w:szCs w:val="22"/>
          <w:lang w:val="tr-TR"/>
        </w:rPr>
      </w:pPr>
      <w:r w:rsidRPr="28855ECB" w:rsidR="48B9ED0B">
        <w:rPr>
          <w:rFonts w:ascii="Arial" w:hAnsi="Arial" w:eastAsia="Arial" w:cs="Arial"/>
          <w:b w:val="1"/>
          <w:bCs w:val="1"/>
          <w:noProof w:val="0"/>
          <w:color w:val="auto"/>
          <w:sz w:val="22"/>
          <w:szCs w:val="22"/>
          <w:lang w:val="tr-TR"/>
        </w:rPr>
        <w:t>Değerlendirme</w:t>
      </w:r>
    </w:p>
    <w:p w:rsidRPr="003C68C7" w:rsidR="00B84802" w:rsidP="28855ECB" w:rsidRDefault="00B84802" w14:paraId="15155D1A" w14:textId="1D43D22C">
      <w:pPr>
        <w:spacing w:before="240" w:beforeAutospacing="off" w:after="240" w:afterAutospacing="off" w:line="276" w:lineRule="auto"/>
        <w:ind/>
        <w:jc w:val="both"/>
        <w:textAlignment w:val="baseline"/>
        <w:rPr>
          <w:rFonts w:ascii="Arial" w:hAnsi="Arial" w:eastAsia="Arial" w:cs="Arial"/>
          <w:noProof w:val="0"/>
          <w:color w:val="auto"/>
          <w:sz w:val="22"/>
          <w:szCs w:val="22"/>
          <w:lang w:val="tr-TR"/>
        </w:rPr>
      </w:pPr>
      <w:r w:rsidRPr="28855ECB" w:rsidR="48B9ED0B">
        <w:rPr>
          <w:rFonts w:ascii="Arial" w:hAnsi="Arial" w:eastAsia="Arial" w:cs="Arial"/>
          <w:noProof w:val="0"/>
          <w:color w:val="auto"/>
          <w:sz w:val="22"/>
          <w:szCs w:val="22"/>
          <w:lang w:val="tr-TR"/>
        </w:rPr>
        <w:t>Vergi Usul Kanunu, vergi uyuşmazlıklarının çözümüne ilişkin olarak hem idari hem de yargısal başvuru yollarını sistematik bir şekilde düzenleyerek mükelleflere çeşitli seçenekler sunmaktadır. Düzeltme ve şikâyet yolları, vergi idaresi tarafından tesis edilen hatalı işlemlerin dava aşamasına intikal etmeden çözümlenmesini amaçlamaktadır.</w:t>
      </w:r>
    </w:p>
    <w:p w:rsidRPr="003C68C7" w:rsidR="00B84802" w:rsidP="28855ECB" w:rsidRDefault="00B84802" w14:paraId="361899B6" w14:textId="7D384F76">
      <w:pPr>
        <w:spacing w:before="240" w:beforeAutospacing="off" w:after="240" w:afterAutospacing="off" w:line="276" w:lineRule="auto"/>
        <w:ind/>
        <w:jc w:val="both"/>
        <w:textAlignment w:val="baseline"/>
        <w:rPr>
          <w:rFonts w:ascii="Arial" w:hAnsi="Arial" w:eastAsia="Arial" w:cs="Arial"/>
          <w:noProof w:val="0"/>
          <w:color w:val="auto"/>
          <w:sz w:val="22"/>
          <w:szCs w:val="22"/>
          <w:lang w:val="tr-TR"/>
        </w:rPr>
      </w:pPr>
      <w:r w:rsidRPr="28855ECB" w:rsidR="48B9ED0B">
        <w:rPr>
          <w:rFonts w:ascii="Arial" w:hAnsi="Arial" w:eastAsia="Arial" w:cs="Arial"/>
          <w:noProof w:val="0"/>
          <w:color w:val="auto"/>
          <w:sz w:val="22"/>
          <w:szCs w:val="22"/>
          <w:lang w:val="tr-TR"/>
        </w:rPr>
        <w:t>Uzlaşma müessesesi, tarafların karşılıklı mutabakatı ile uyuşmazlığın kısa sürede sonuçlandırılmasına imkân sağlamaktadır. Yargı yolu ise idari başvuru yollarının sonuçsuz kalması halinde hukuki denetimin sağlanmasına yönelik nihai başvuru yolu niteliğindedir.</w:t>
      </w:r>
    </w:p>
    <w:p w:rsidRPr="003C68C7" w:rsidR="00B84802" w:rsidP="28855ECB" w:rsidRDefault="00B84802" w14:paraId="17E51BAF" w14:textId="292E3459">
      <w:pPr>
        <w:spacing w:before="240" w:beforeAutospacing="off" w:after="240" w:afterAutospacing="off" w:line="276" w:lineRule="auto"/>
        <w:ind/>
        <w:jc w:val="both"/>
        <w:textAlignment w:val="baseline"/>
        <w:rPr>
          <w:rFonts w:ascii="Arial" w:hAnsi="Arial" w:eastAsia="Arial" w:cs="Arial"/>
          <w:noProof w:val="0"/>
          <w:color w:val="auto"/>
          <w:sz w:val="22"/>
          <w:szCs w:val="22"/>
          <w:lang w:val="tr-TR"/>
        </w:rPr>
      </w:pPr>
      <w:r w:rsidRPr="28855ECB" w:rsidR="48B9ED0B">
        <w:rPr>
          <w:rFonts w:ascii="Arial" w:hAnsi="Arial" w:eastAsia="Arial" w:cs="Arial"/>
          <w:noProof w:val="0"/>
          <w:color w:val="auto"/>
          <w:sz w:val="22"/>
          <w:szCs w:val="22"/>
          <w:lang w:val="tr-TR"/>
        </w:rPr>
        <w:t>Şirketler ve gerçek kişiler bakımından bu mekanizmaların bilinmesi ve uygun zamanda etkin bir şekilde kullanılması, gereksiz mali yüklerin ve uzun yargılama süreçlerinin önlenmesi açısından büyük önem arz etmektedir.</w:t>
      </w:r>
    </w:p>
    <w:p w:rsidRPr="003C68C7" w:rsidR="00B84802" w:rsidP="28855ECB" w:rsidRDefault="00B84802" w14:paraId="721B447B" w14:textId="21B98A69">
      <w:pPr>
        <w:pStyle w:val="paragraph"/>
        <w:spacing w:before="0" w:beforeAutospacing="off" w:after="0" w:afterAutospacing="off" w:line="276" w:lineRule="auto"/>
        <w:ind w:left="1080"/>
        <w:jc w:val="both"/>
        <w:textAlignment w:val="baseline"/>
        <w:rPr>
          <w:rStyle w:val="normaltextrun"/>
          <w:rFonts w:ascii="Arial" w:hAnsi="Arial" w:eastAsia="Arial" w:cs="Arial"/>
          <w:b w:val="1"/>
          <w:bCs w:val="1"/>
          <w:color w:val="auto"/>
          <w:sz w:val="22"/>
          <w:szCs w:val="22"/>
        </w:rPr>
      </w:pPr>
    </w:p>
    <w:p w:rsidRPr="003C68C7" w:rsidR="007A2FA6" w:rsidP="28855ECB" w:rsidRDefault="007A2FA6" w14:paraId="270A0875" w14:textId="20134A67">
      <w:pPr>
        <w:pStyle w:val="paragraph"/>
        <w:spacing w:before="0" w:beforeAutospacing="off" w:after="0" w:afterAutospacing="off" w:line="276" w:lineRule="auto"/>
        <w:jc w:val="both"/>
        <w:textAlignment w:val="baseline"/>
        <w:rPr>
          <w:rStyle w:val="eop"/>
          <w:rFonts w:ascii="Arial" w:hAnsi="Arial" w:eastAsia="Arial" w:cs="Arial"/>
          <w:color w:val="auto"/>
          <w:sz w:val="22"/>
          <w:szCs w:val="22"/>
        </w:rPr>
      </w:pPr>
    </w:p>
    <w:p w:rsidRPr="003C68C7" w:rsidR="00C234F3" w:rsidP="28855ECB" w:rsidRDefault="00C234F3" w14:paraId="21F9C718" w14:textId="77777777">
      <w:pPr>
        <w:spacing w:line="276" w:lineRule="auto"/>
        <w:jc w:val="both"/>
        <w:rPr>
          <w:rFonts w:ascii="Arial" w:hAnsi="Arial" w:eastAsia="Arial" w:cs="Arial"/>
          <w:b w:val="1"/>
          <w:bCs w:val="1"/>
          <w:color w:val="auto"/>
          <w:sz w:val="22"/>
          <w:szCs w:val="22"/>
        </w:rPr>
      </w:pPr>
      <w:r w:rsidRPr="28855ECB">
        <w:rPr>
          <w:rFonts w:ascii="Arial" w:hAnsi="Arial" w:eastAsia="Arial" w:cs="Arial"/>
          <w:b w:val="1"/>
          <w:bCs w:val="1"/>
          <w:color w:val="auto"/>
          <w:sz w:val="22"/>
          <w:szCs w:val="22"/>
        </w:rPr>
        <w:br w:type="page"/>
      </w:r>
    </w:p>
    <w:p w:rsidRPr="003C68C7" w:rsidR="00B84802" w:rsidP="28855ECB" w:rsidRDefault="00B84802" w14:paraId="7BCE5DB3" w14:textId="3511B550">
      <w:pPr>
        <w:pStyle w:val="paragraph"/>
        <w:spacing w:before="0" w:beforeAutospacing="off" w:after="0" w:afterAutospacing="off" w:line="276" w:lineRule="auto"/>
        <w:ind w:left="1080"/>
        <w:jc w:val="both"/>
        <w:textAlignment w:val="baseline"/>
        <w:rPr>
          <w:rStyle w:val="normaltextrun"/>
          <w:rFonts w:ascii="Arial" w:hAnsi="Arial" w:eastAsia="Arial" w:cs="Arial"/>
          <w:b w:val="1"/>
          <w:bCs w:val="1"/>
          <w:color w:val="auto"/>
          <w:sz w:val="22"/>
          <w:szCs w:val="22"/>
        </w:rPr>
      </w:pPr>
      <w:r w:rsidRPr="28855ECB" w:rsidR="5E80B7E4">
        <w:rPr>
          <w:rStyle w:val="normaltextrun"/>
          <w:rFonts w:ascii="Arial" w:hAnsi="Arial" w:eastAsia="Arial" w:cs="Arial"/>
          <w:b w:val="1"/>
          <w:bCs w:val="1"/>
          <w:color w:val="auto"/>
          <w:sz w:val="22"/>
          <w:szCs w:val="22"/>
        </w:rPr>
        <w:t>EKİM 2025</w:t>
      </w:r>
    </w:p>
    <w:p w:rsidR="2A1D03FB" w:rsidP="28855ECB" w:rsidRDefault="2A1D03FB" w14:paraId="0ECAF4F0" w14:textId="60831BC8">
      <w:pPr>
        <w:spacing w:before="240" w:beforeAutospacing="off" w:after="240" w:afterAutospacing="off"/>
        <w:jc w:val="both"/>
        <w:rPr>
          <w:rFonts w:ascii="Arial" w:hAnsi="Arial" w:eastAsia="Arial" w:cs="Arial"/>
          <w:b w:val="1"/>
          <w:bCs w:val="1"/>
          <w:noProof w:val="0"/>
          <w:color w:val="auto"/>
          <w:sz w:val="22"/>
          <w:szCs w:val="22"/>
          <w:lang w:val="tr-TR"/>
        </w:rPr>
      </w:pPr>
      <w:r w:rsidRPr="28855ECB" w:rsidR="2A1D03FB">
        <w:rPr>
          <w:rFonts w:ascii="Arial" w:hAnsi="Arial" w:eastAsia="Arial" w:cs="Arial"/>
          <w:b w:val="1"/>
          <w:bCs w:val="1"/>
          <w:noProof w:val="0"/>
          <w:color w:val="auto"/>
          <w:sz w:val="22"/>
          <w:szCs w:val="22"/>
          <w:lang w:val="tr-TR"/>
        </w:rPr>
        <w:t>VERGİ AFFI İŞVEREN AÇISINDAN NE ANLAMA GELİYOR?</w:t>
      </w:r>
    </w:p>
    <w:p w:rsidR="2A1D03FB" w:rsidP="28855ECB" w:rsidRDefault="2A1D03FB" w14:paraId="00A8F99F" w14:textId="1F8E5895">
      <w:pPr>
        <w:pStyle w:val="Balk3"/>
        <w:spacing w:before="281" w:beforeAutospacing="off" w:after="281" w:afterAutospacing="off"/>
        <w:jc w:val="both"/>
        <w:rPr>
          <w:rFonts w:ascii="Arial" w:hAnsi="Arial" w:eastAsia="Arial" w:cs="Arial"/>
          <w:b w:val="1"/>
          <w:bCs w:val="1"/>
          <w:noProof w:val="0"/>
          <w:color w:val="auto"/>
          <w:sz w:val="22"/>
          <w:szCs w:val="22"/>
          <w:lang w:val="tr-TR"/>
        </w:rPr>
      </w:pPr>
      <w:r w:rsidRPr="28855ECB" w:rsidR="2A1D03FB">
        <w:rPr>
          <w:rFonts w:ascii="Arial" w:hAnsi="Arial" w:eastAsia="Arial" w:cs="Arial"/>
          <w:b w:val="1"/>
          <w:bCs w:val="1"/>
          <w:noProof w:val="0"/>
          <w:color w:val="auto"/>
          <w:sz w:val="22"/>
          <w:szCs w:val="22"/>
          <w:lang w:val="tr-TR"/>
        </w:rPr>
        <w:t>Detaylar</w:t>
      </w:r>
    </w:p>
    <w:p w:rsidR="2A1D03FB" w:rsidP="28855ECB" w:rsidRDefault="2A1D03FB" w14:paraId="5E9DCEE9" w14:textId="2E5ADA07">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Vergi affı, kamuoyunda sıklıkla kullanılan ancak çoğu zaman teknik anlamı itibarıyla hatalı yorumlanan bir kavramdır. Bu kavramın temelinde, devletin vergi alacaklarını yeniden yapılandırmak suretiyle hem mükelleflere ödeme kolaylığı sağlaması hem de kamu alacaklarının tahsilatını hızlandırması yer almaktadır.</w:t>
      </w:r>
    </w:p>
    <w:p w:rsidR="2A1D03FB" w:rsidP="28855ECB" w:rsidRDefault="2A1D03FB" w14:paraId="1134475C" w14:textId="490C9E7C">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“Vergi affı” ifadesi mevzuatta doğrudan yer almamakta olup, bunun yerine teknik olarak “Bazı Alacakların Yeniden Yapılandırılması” başlıklı özel kanunlar ihdas edilmektedir.</w:t>
      </w:r>
    </w:p>
    <w:p w:rsidR="2A1D03FB" w:rsidP="28855ECB" w:rsidRDefault="2A1D03FB" w14:paraId="0FAC68AE" w14:textId="5A3F265A">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Söz konusu kanunlar; vergi borçlarına ilişkin gecikme faizlerinin, vergi cezalarının veya gecikme zamlarının kısmen veya tamamen kaldırılması ile kalan borcun taksitlendirilmesi gibi kolaylıklar sağlamaktadır.</w:t>
      </w:r>
    </w:p>
    <w:p w:rsidR="2A1D03FB" w:rsidP="28855ECB" w:rsidRDefault="2A1D03FB" w14:paraId="000406EA" w14:textId="601F1748">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En güncel örneklerden bazıları aşağıdaki gibidir:</w:t>
      </w:r>
    </w:p>
    <w:p w:rsidR="2A1D03FB" w:rsidP="28855ECB" w:rsidRDefault="2A1D03FB" w14:paraId="2BD0133A" w14:textId="6C81D5B0">
      <w:pPr>
        <w:pStyle w:val="ListeParagraf"/>
        <w:numPr>
          <w:ilvl w:val="0"/>
          <w:numId w:val="3"/>
        </w:numPr>
        <w:spacing w:before="0" w:beforeAutospacing="off" w:after="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 xml:space="preserve">7440 sayılı Kanun (2023) </w:t>
      </w:r>
    </w:p>
    <w:p w:rsidR="2A1D03FB" w:rsidP="28855ECB" w:rsidRDefault="2A1D03FB" w14:paraId="32CE8D03" w14:textId="7C01160C">
      <w:pPr>
        <w:pStyle w:val="ListeParagraf"/>
        <w:numPr>
          <w:ilvl w:val="0"/>
          <w:numId w:val="3"/>
        </w:numPr>
        <w:spacing w:before="0" w:beforeAutospacing="off" w:after="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 xml:space="preserve">7326 sayılı Kanun (2021) </w:t>
      </w:r>
    </w:p>
    <w:p w:rsidR="2A1D03FB" w:rsidP="28855ECB" w:rsidRDefault="2A1D03FB" w14:paraId="13D1DBD9" w14:textId="7A4757ED">
      <w:pPr>
        <w:pStyle w:val="ListeParagraf"/>
        <w:numPr>
          <w:ilvl w:val="0"/>
          <w:numId w:val="3"/>
        </w:numPr>
        <w:spacing w:before="0" w:beforeAutospacing="off" w:after="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 xml:space="preserve">7143 sayılı Kanun (2018) </w:t>
      </w:r>
    </w:p>
    <w:p w:rsidR="2A1D03FB" w:rsidP="28855ECB" w:rsidRDefault="2A1D03FB" w14:paraId="46919838" w14:textId="3F60C059">
      <w:pPr>
        <w:pStyle w:val="ListeParagraf"/>
        <w:numPr>
          <w:ilvl w:val="0"/>
          <w:numId w:val="3"/>
        </w:numPr>
        <w:spacing w:before="0" w:beforeAutospacing="off" w:after="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 xml:space="preserve">6736 sayılı Kanun (2016) </w:t>
      </w:r>
    </w:p>
    <w:p w:rsidR="2A1D03FB" w:rsidP="28855ECB" w:rsidRDefault="2A1D03FB" w14:paraId="1841F85A" w14:textId="666DACD4">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Bu kanunlar esas itibarıyla Vergi Usul Kanunu (VUK) ile Amme Alacaklarının Tahsil Usulü Hakkında Kanun (AATUHK) hükümleri çerçevesinde uygulanmaktadır.</w:t>
      </w:r>
    </w:p>
    <w:p w:rsidR="2A1D03FB" w:rsidP="28855ECB" w:rsidRDefault="2A1D03FB" w14:paraId="3CDF0DC6" w14:textId="5180C976">
      <w:pPr>
        <w:pStyle w:val="Balk3"/>
        <w:spacing w:before="281" w:beforeAutospacing="off" w:after="281" w:afterAutospacing="off"/>
        <w:jc w:val="both"/>
        <w:rPr>
          <w:rFonts w:ascii="Arial" w:hAnsi="Arial" w:eastAsia="Arial" w:cs="Arial"/>
          <w:b w:val="1"/>
          <w:bCs w:val="1"/>
          <w:noProof w:val="0"/>
          <w:color w:val="auto"/>
          <w:sz w:val="22"/>
          <w:szCs w:val="22"/>
          <w:lang w:val="tr-TR"/>
        </w:rPr>
      </w:pPr>
      <w:r w:rsidRPr="28855ECB" w:rsidR="2A1D03FB">
        <w:rPr>
          <w:rFonts w:ascii="Arial" w:hAnsi="Arial" w:eastAsia="Arial" w:cs="Arial"/>
          <w:b w:val="1"/>
          <w:bCs w:val="1"/>
          <w:noProof w:val="0"/>
          <w:color w:val="auto"/>
          <w:sz w:val="22"/>
          <w:szCs w:val="22"/>
          <w:lang w:val="tr-TR"/>
        </w:rPr>
        <w:t>İşveren Açısından Sağladığı Avantajlar</w:t>
      </w:r>
    </w:p>
    <w:p w:rsidR="2A1D03FB" w:rsidP="28855ECB" w:rsidRDefault="2A1D03FB" w14:paraId="71CB5947" w14:textId="779FF9E6">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Vergi affı niteliğindeki yeniden yapılandırma düzenlemeleri, işverenler açısından yalnızca borçların azaltılması anlamına gelmemekte; aynı zamanda mali risklerin azaltılması, nakit akışının planlanması ve denetim riskinin azaltılması gibi sonuçlar doğurmaktadır.</w:t>
      </w:r>
    </w:p>
    <w:p w:rsidR="2A1D03FB" w:rsidP="28855ECB" w:rsidRDefault="2A1D03FB" w14:paraId="6AB1574B" w14:textId="24881CEA">
      <w:pPr>
        <w:pStyle w:val="Balk4"/>
        <w:spacing w:before="319" w:beforeAutospacing="off" w:after="319" w:afterAutospacing="off"/>
        <w:jc w:val="both"/>
        <w:rPr>
          <w:rFonts w:ascii="Arial" w:hAnsi="Arial" w:eastAsia="Arial" w:cs="Arial"/>
          <w:b w:val="1"/>
          <w:bCs w:val="1"/>
          <w:noProof w:val="0"/>
          <w:color w:val="auto"/>
          <w:sz w:val="22"/>
          <w:szCs w:val="22"/>
          <w:lang w:val="tr-TR"/>
        </w:rPr>
      </w:pPr>
      <w:r w:rsidRPr="28855ECB" w:rsidR="2A1D03FB">
        <w:rPr>
          <w:rFonts w:ascii="Arial" w:hAnsi="Arial" w:eastAsia="Arial" w:cs="Arial"/>
          <w:b w:val="1"/>
          <w:bCs w:val="1"/>
          <w:noProof w:val="0"/>
          <w:color w:val="auto"/>
          <w:sz w:val="22"/>
          <w:szCs w:val="22"/>
          <w:lang w:val="tr-TR"/>
        </w:rPr>
        <w:t>a) Faiz ve Ceza İndirimi</w:t>
      </w:r>
    </w:p>
    <w:p w:rsidR="2A1D03FB" w:rsidP="28855ECB" w:rsidRDefault="2A1D03FB" w14:paraId="66697D36" w14:textId="6F1DB086">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Kanun kapsamında başvuruda bulunan işverenler bakımından:</w:t>
      </w:r>
    </w:p>
    <w:p w:rsidR="2A1D03FB" w:rsidP="28855ECB" w:rsidRDefault="2A1D03FB" w14:paraId="27D4EEDC" w14:textId="4B86FB39">
      <w:pPr>
        <w:pStyle w:val="ListeParagraf"/>
        <w:numPr>
          <w:ilvl w:val="0"/>
          <w:numId w:val="4"/>
        </w:numPr>
        <w:spacing w:before="0" w:beforeAutospacing="off" w:after="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 xml:space="preserve">Vergi aslı korunmakta, </w:t>
      </w:r>
    </w:p>
    <w:p w:rsidR="2A1D03FB" w:rsidP="28855ECB" w:rsidRDefault="2A1D03FB" w14:paraId="3B17C5F3" w14:textId="61297FA0">
      <w:pPr>
        <w:pStyle w:val="ListeParagraf"/>
        <w:numPr>
          <w:ilvl w:val="0"/>
          <w:numId w:val="4"/>
        </w:numPr>
        <w:spacing w:before="0" w:beforeAutospacing="off" w:after="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 xml:space="preserve">Gecikme faizi ve vergi cezalarının önemli bir kısmı kaldırılmakta, </w:t>
      </w:r>
    </w:p>
    <w:p w:rsidR="2A1D03FB" w:rsidP="28855ECB" w:rsidRDefault="2A1D03FB" w14:paraId="1B54313B" w14:textId="03889A7D">
      <w:pPr>
        <w:pStyle w:val="ListeParagraf"/>
        <w:numPr>
          <w:ilvl w:val="0"/>
          <w:numId w:val="4"/>
        </w:numPr>
        <w:spacing w:before="0" w:beforeAutospacing="off" w:after="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 xml:space="preserve">Borçlar 12–36 aya kadar taksitlendirilebilmektedir. </w:t>
      </w:r>
    </w:p>
    <w:p w:rsidR="2A1D03FB" w:rsidP="28855ECB" w:rsidRDefault="2A1D03FB" w14:paraId="7A4CB59E" w14:textId="1760D9EC">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Bu suretle, özellikle geçmiş dönemlerden kaynaklanan birikmiş borçların mali yapıyı olumsuz etkilemeden ödenebilir hale gelmesi sağlanmaktadır.</w:t>
      </w:r>
    </w:p>
    <w:p w:rsidR="28855ECB" w:rsidP="28855ECB" w:rsidRDefault="28855ECB" w14:paraId="68CFE7ED" w14:textId="62D51C1D">
      <w:pPr>
        <w:jc w:val="both"/>
        <w:rPr>
          <w:rFonts w:ascii="Arial" w:hAnsi="Arial" w:eastAsia="Arial" w:cs="Arial"/>
          <w:color w:val="auto"/>
          <w:sz w:val="22"/>
          <w:szCs w:val="22"/>
        </w:rPr>
      </w:pPr>
    </w:p>
    <w:p w:rsidR="2A1D03FB" w:rsidP="28855ECB" w:rsidRDefault="2A1D03FB" w14:paraId="4CB8575C" w14:textId="2490F2B5">
      <w:pPr>
        <w:pStyle w:val="Balk4"/>
        <w:spacing w:before="319" w:beforeAutospacing="off" w:after="319" w:afterAutospacing="off"/>
        <w:jc w:val="both"/>
        <w:rPr>
          <w:rFonts w:ascii="Arial" w:hAnsi="Arial" w:eastAsia="Arial" w:cs="Arial"/>
          <w:b w:val="1"/>
          <w:bCs w:val="1"/>
          <w:noProof w:val="0"/>
          <w:color w:val="auto"/>
          <w:sz w:val="22"/>
          <w:szCs w:val="22"/>
          <w:lang w:val="tr-TR"/>
        </w:rPr>
      </w:pPr>
      <w:r w:rsidRPr="28855ECB" w:rsidR="2A1D03FB">
        <w:rPr>
          <w:rFonts w:ascii="Arial" w:hAnsi="Arial" w:eastAsia="Arial" w:cs="Arial"/>
          <w:b w:val="1"/>
          <w:bCs w:val="1"/>
          <w:noProof w:val="0"/>
          <w:color w:val="auto"/>
          <w:sz w:val="22"/>
          <w:szCs w:val="22"/>
          <w:lang w:val="tr-TR"/>
        </w:rPr>
        <w:t>b) Matrah ve Vergi Artırımı</w:t>
      </w:r>
    </w:p>
    <w:p w:rsidR="2A1D03FB" w:rsidP="28855ECB" w:rsidRDefault="2A1D03FB" w14:paraId="048C1A36" w14:textId="658DCC1E">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Yapılandırma kanunlarında yer alan en önemli düzenlemelerden biri matrah ve vergi artırımı müessesesidir.</w:t>
      </w:r>
    </w:p>
    <w:p w:rsidR="2A1D03FB" w:rsidP="28855ECB" w:rsidRDefault="2A1D03FB" w14:paraId="6555B287" w14:textId="3C8F2908">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İşverenin geçmiş yıllara ilişkin olarak matrah artırımı yapması halinde, ilgili yıllar bakımından vergi incelemesine tabi tutulmaması esası benimsenmiştir.</w:t>
      </w:r>
    </w:p>
    <w:p w:rsidR="2A1D03FB" w:rsidP="28855ECB" w:rsidRDefault="2A1D03FB" w14:paraId="6FD8A22A" w14:textId="25B0409F">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Bu düzenleme sayesinde işletmeler:</w:t>
      </w:r>
    </w:p>
    <w:p w:rsidR="2A1D03FB" w:rsidP="28855ECB" w:rsidRDefault="2A1D03FB" w14:paraId="635412C9" w14:textId="4E6BB0F9">
      <w:pPr>
        <w:pStyle w:val="ListeParagraf"/>
        <w:numPr>
          <w:ilvl w:val="0"/>
          <w:numId w:val="5"/>
        </w:numPr>
        <w:spacing w:before="0" w:beforeAutospacing="off" w:after="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 xml:space="preserve">Geriye dönük vergi incelemesi riskini ortadan kaldırmakta, </w:t>
      </w:r>
    </w:p>
    <w:p w:rsidR="2A1D03FB" w:rsidP="28855ECB" w:rsidRDefault="2A1D03FB" w14:paraId="48E54BC1" w14:textId="6AE0AD93">
      <w:pPr>
        <w:pStyle w:val="ListeParagraf"/>
        <w:numPr>
          <w:ilvl w:val="0"/>
          <w:numId w:val="5"/>
        </w:numPr>
        <w:spacing w:before="0" w:beforeAutospacing="off" w:after="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 xml:space="preserve">Mali tablolarını hukuki güvence altına almaktadır. </w:t>
      </w:r>
    </w:p>
    <w:p w:rsidR="2A1D03FB" w:rsidP="28855ECB" w:rsidRDefault="2A1D03FB" w14:paraId="3162B5BE" w14:textId="4CDF642D">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Örneğin, 2023 yılında yürürlüğe giren 7440 sayılı Kanun’un 5. maddesi bu hususa ilişkin açık hükümler içermektedir:</w:t>
      </w:r>
    </w:p>
    <w:p w:rsidR="2A1D03FB" w:rsidP="28855ECB" w:rsidRDefault="2A1D03FB" w14:paraId="78C00589" w14:textId="79224587">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“Mükellefler, bu fıkrada belirtilen şartlar dâhilinde gelir ve kurumlar vergisi matrahlarını artırarak bu maddede belirtilen süre ve şekilde ödemeleri hâlinde, kendileri hakkında artırımda bulunulan yıllar için yıllık gelir ve kurumlar vergisi incelemesi yapılmaz ve bu yıllara ilişkin olarak bu vergi türleri bakımından daha sonra başka bir tarhiyat yapılmaz.”</w:t>
      </w:r>
    </w:p>
    <w:p w:rsidR="2A1D03FB" w:rsidP="28855ECB" w:rsidRDefault="2A1D03FB" w14:paraId="67D6E979" w14:textId="4EB1B3AB">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Bu hüküm uyarınca, belirtilen yıllar için matrah artırımı yapan işverenler bakımından, söz konusu dönemlere ilişkin yeni bir vergi incelemesi yapılması ve ek tarhiyat tesis edilmesi mümkün olmamaktadır.</w:t>
      </w:r>
    </w:p>
    <w:p w:rsidR="2A1D03FB" w:rsidP="28855ECB" w:rsidRDefault="2A1D03FB" w14:paraId="6B24C760" w14:textId="3D964E66">
      <w:pPr>
        <w:pStyle w:val="Balk4"/>
        <w:spacing w:before="319" w:beforeAutospacing="off" w:after="319" w:afterAutospacing="off"/>
        <w:jc w:val="both"/>
        <w:rPr>
          <w:rFonts w:ascii="Arial" w:hAnsi="Arial" w:eastAsia="Arial" w:cs="Arial"/>
          <w:b w:val="1"/>
          <w:bCs w:val="1"/>
          <w:noProof w:val="0"/>
          <w:color w:val="auto"/>
          <w:sz w:val="22"/>
          <w:szCs w:val="22"/>
          <w:lang w:val="tr-TR"/>
        </w:rPr>
      </w:pPr>
      <w:r w:rsidRPr="28855ECB" w:rsidR="2A1D03FB">
        <w:rPr>
          <w:rFonts w:ascii="Arial" w:hAnsi="Arial" w:eastAsia="Arial" w:cs="Arial"/>
          <w:b w:val="1"/>
          <w:bCs w:val="1"/>
          <w:noProof w:val="0"/>
          <w:color w:val="auto"/>
          <w:sz w:val="22"/>
          <w:szCs w:val="22"/>
          <w:lang w:val="tr-TR"/>
        </w:rPr>
        <w:t>c) Kasa, Ortaklar ve Stok Düzeltmesi</w:t>
      </w:r>
    </w:p>
    <w:p w:rsidR="2A1D03FB" w:rsidP="28855ECB" w:rsidRDefault="2A1D03FB" w14:paraId="3584BBCE" w14:textId="45D75F88">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Yapılandırma kanunları kapsamında işverenlere, muhasebe kayıtlarını fiili duruma uygun hale getirme imkânı da tanınmaktadır.</w:t>
      </w:r>
    </w:p>
    <w:p w:rsidR="2A1D03FB" w:rsidP="28855ECB" w:rsidRDefault="2A1D03FB" w14:paraId="1D352CE7" w14:textId="5B42085D">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Bu çerçevede kasa fazlaları, ortaklardan alacaklar veya stok farkları beyan edilmek suretiyle kayıtlar yasal hale getirilebilmektedir.</w:t>
      </w:r>
    </w:p>
    <w:p w:rsidR="2A1D03FB" w:rsidP="28855ECB" w:rsidRDefault="2A1D03FB" w14:paraId="2A5DBB6D" w14:textId="496A72F8">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Bu imkân, özellikle bilanço yapısını düzeltmek isteyen işletmeler açısından önemli bir fırsat teşkil etmektedir.</w:t>
      </w:r>
    </w:p>
    <w:p w:rsidR="2A1D03FB" w:rsidP="28855ECB" w:rsidRDefault="2A1D03FB" w14:paraId="5D705A9A" w14:textId="40B92815">
      <w:pPr>
        <w:pStyle w:val="Balk3"/>
        <w:spacing w:before="281" w:beforeAutospacing="off" w:after="281" w:afterAutospacing="off"/>
        <w:jc w:val="both"/>
        <w:rPr>
          <w:rFonts w:ascii="Arial" w:hAnsi="Arial" w:eastAsia="Arial" w:cs="Arial"/>
          <w:b w:val="1"/>
          <w:bCs w:val="1"/>
          <w:noProof w:val="0"/>
          <w:color w:val="auto"/>
          <w:sz w:val="22"/>
          <w:szCs w:val="22"/>
          <w:lang w:val="tr-TR"/>
        </w:rPr>
      </w:pPr>
      <w:r w:rsidRPr="28855ECB" w:rsidR="2A1D03FB">
        <w:rPr>
          <w:rFonts w:ascii="Arial" w:hAnsi="Arial" w:eastAsia="Arial" w:cs="Arial"/>
          <w:b w:val="1"/>
          <w:bCs w:val="1"/>
          <w:noProof w:val="0"/>
          <w:color w:val="auto"/>
          <w:sz w:val="22"/>
          <w:szCs w:val="22"/>
          <w:lang w:val="tr-TR"/>
        </w:rPr>
        <w:t>Hukuki Dayanak ve Süreç</w:t>
      </w:r>
    </w:p>
    <w:p w:rsidR="2A1D03FB" w:rsidP="28855ECB" w:rsidRDefault="2A1D03FB" w14:paraId="3738503A" w14:textId="32943D57">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Vergi affı niteliğindeki yapılandırma kanunları belirli sürelerle sınırlı olarak uygulanmaktadır.</w:t>
      </w:r>
    </w:p>
    <w:p w:rsidR="2A1D03FB" w:rsidP="28855ECB" w:rsidRDefault="2A1D03FB" w14:paraId="1CA11861" w14:textId="47D0027A">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Başvuru süresi, kural olarak kanunun Resmî Gazete’de yayımlandığı tarihten itibaren 2–3 ay olarak belirlenmektedir.</w:t>
      </w:r>
    </w:p>
    <w:p w:rsidR="2A1D03FB" w:rsidP="28855ECB" w:rsidRDefault="2A1D03FB" w14:paraId="5812FE55" w14:textId="78A0344D">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Bu süreçte işverenin:</w:t>
      </w:r>
    </w:p>
    <w:p w:rsidR="2A1D03FB" w:rsidP="28855ECB" w:rsidRDefault="2A1D03FB" w14:paraId="773192BE" w14:textId="2D0FD446">
      <w:pPr>
        <w:pStyle w:val="ListeParagraf"/>
        <w:numPr>
          <w:ilvl w:val="0"/>
          <w:numId w:val="6"/>
        </w:numPr>
        <w:spacing w:before="0" w:beforeAutospacing="off" w:after="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 xml:space="preserve">İlgili vergi dairesine başvuruda bulunması, </w:t>
      </w:r>
    </w:p>
    <w:p w:rsidR="2A1D03FB" w:rsidP="28855ECB" w:rsidRDefault="2A1D03FB" w14:paraId="23D4F77C" w14:textId="7DD342FB">
      <w:pPr>
        <w:pStyle w:val="ListeParagraf"/>
        <w:numPr>
          <w:ilvl w:val="0"/>
          <w:numId w:val="6"/>
        </w:numPr>
        <w:spacing w:before="0" w:beforeAutospacing="off" w:after="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 xml:space="preserve">Taksitlendirme planını kabul etmesi, </w:t>
      </w:r>
    </w:p>
    <w:p w:rsidR="2A1D03FB" w:rsidP="28855ECB" w:rsidRDefault="2A1D03FB" w14:paraId="4785DD2C" w14:textId="6F55ECB8">
      <w:pPr>
        <w:pStyle w:val="ListeParagraf"/>
        <w:numPr>
          <w:ilvl w:val="0"/>
          <w:numId w:val="6"/>
        </w:numPr>
        <w:spacing w:before="0" w:beforeAutospacing="off" w:after="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 xml:space="preserve">İlk iki taksiti süresinde ödemesi </w:t>
      </w:r>
    </w:p>
    <w:p w:rsidR="2A1D03FB" w:rsidP="28855ECB" w:rsidRDefault="2A1D03FB" w14:paraId="2F1C62FF" w14:textId="7A6F8940">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gerekmektedir.</w:t>
      </w:r>
    </w:p>
    <w:p w:rsidR="2A1D03FB" w:rsidP="28855ECB" w:rsidRDefault="2A1D03FB" w14:paraId="5FB17467" w14:textId="3F0627B6">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 xml:space="preserve">İlk iki </w:t>
      </w:r>
      <w:r w:rsidRPr="28855ECB" w:rsidR="2A1D03FB">
        <w:rPr>
          <w:rFonts w:ascii="Arial" w:hAnsi="Arial" w:eastAsia="Arial" w:cs="Arial"/>
          <w:noProof w:val="0"/>
          <w:color w:val="auto"/>
          <w:sz w:val="22"/>
          <w:szCs w:val="22"/>
          <w:lang w:val="tr-TR"/>
        </w:rPr>
        <w:t>taksidin</w:t>
      </w:r>
      <w:r w:rsidRPr="28855ECB" w:rsidR="2A1D03FB">
        <w:rPr>
          <w:rFonts w:ascii="Arial" w:hAnsi="Arial" w:eastAsia="Arial" w:cs="Arial"/>
          <w:noProof w:val="0"/>
          <w:color w:val="auto"/>
          <w:sz w:val="22"/>
          <w:szCs w:val="22"/>
          <w:lang w:val="tr-TR"/>
        </w:rPr>
        <w:t xml:space="preserve"> süresinde ödenmemesi halinde yapılandırma hakkı kendiliğinden sona ermekte ve borçlar yasal faizi </w:t>
      </w:r>
      <w:r w:rsidRPr="28855ECB" w:rsidR="2A1D03FB">
        <w:rPr>
          <w:rFonts w:ascii="Arial" w:hAnsi="Arial" w:eastAsia="Arial" w:cs="Arial"/>
          <w:noProof w:val="0"/>
          <w:color w:val="auto"/>
          <w:sz w:val="22"/>
          <w:szCs w:val="22"/>
          <w:lang w:val="tr-TR"/>
        </w:rPr>
        <w:t>ile birlikte</w:t>
      </w:r>
      <w:r w:rsidRPr="28855ECB" w:rsidR="2A1D03FB">
        <w:rPr>
          <w:rFonts w:ascii="Arial" w:hAnsi="Arial" w:eastAsia="Arial" w:cs="Arial"/>
          <w:noProof w:val="0"/>
          <w:color w:val="auto"/>
          <w:sz w:val="22"/>
          <w:szCs w:val="22"/>
          <w:lang w:val="tr-TR"/>
        </w:rPr>
        <w:t xml:space="preserve"> yeniden tahakkuk ettirilmektedir.</w:t>
      </w:r>
    </w:p>
    <w:p w:rsidR="2A1D03FB" w:rsidP="28855ECB" w:rsidRDefault="2A1D03FB" w14:paraId="0EC9BF57" w14:textId="15095CD9">
      <w:pPr>
        <w:pStyle w:val="Balk3"/>
        <w:spacing w:before="281" w:beforeAutospacing="off" w:after="281" w:afterAutospacing="off"/>
        <w:jc w:val="both"/>
        <w:rPr>
          <w:rFonts w:ascii="Arial" w:hAnsi="Arial" w:eastAsia="Arial" w:cs="Arial"/>
          <w:b w:val="1"/>
          <w:bCs w:val="1"/>
          <w:noProof w:val="0"/>
          <w:color w:val="auto"/>
          <w:sz w:val="22"/>
          <w:szCs w:val="22"/>
          <w:lang w:val="tr-TR"/>
        </w:rPr>
      </w:pPr>
      <w:r w:rsidRPr="28855ECB" w:rsidR="2A1D03FB">
        <w:rPr>
          <w:rFonts w:ascii="Arial" w:hAnsi="Arial" w:eastAsia="Arial" w:cs="Arial"/>
          <w:b w:val="1"/>
          <w:bCs w:val="1"/>
          <w:noProof w:val="0"/>
          <w:color w:val="auto"/>
          <w:sz w:val="22"/>
          <w:szCs w:val="22"/>
          <w:lang w:val="tr-TR"/>
        </w:rPr>
        <w:t>Dikkat Edilmesi Gereken Riskler</w:t>
      </w:r>
    </w:p>
    <w:p w:rsidR="2A1D03FB" w:rsidP="28855ECB" w:rsidRDefault="2A1D03FB" w14:paraId="27BFE843" w14:textId="549841E6">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Vergi affı niteliğindeki düzenlemeler işverenler açısından önemli fırsatlar sunmakla birlikte, bazı durumlarda uzun vadeli riskler de doğurabilmektedir:</w:t>
      </w:r>
    </w:p>
    <w:p w:rsidR="2A1D03FB" w:rsidP="28855ECB" w:rsidRDefault="2A1D03FB" w14:paraId="4C14BC3E" w14:textId="169162ED">
      <w:pPr>
        <w:pStyle w:val="ListeParagraf"/>
        <w:numPr>
          <w:ilvl w:val="0"/>
          <w:numId w:val="7"/>
        </w:numPr>
        <w:spacing w:before="0" w:beforeAutospacing="off" w:after="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 xml:space="preserve">Bu tür düzenlemelerin sık aralıklarla yürürlüğe konulması, vergiye uyum bilincini zayıflatabilmektedir. </w:t>
      </w:r>
    </w:p>
    <w:p w:rsidR="2A1D03FB" w:rsidP="28855ECB" w:rsidRDefault="2A1D03FB" w14:paraId="1168BE49" w14:textId="59AAB446">
      <w:pPr>
        <w:pStyle w:val="ListeParagraf"/>
        <w:numPr>
          <w:ilvl w:val="0"/>
          <w:numId w:val="7"/>
        </w:numPr>
        <w:spacing w:before="0" w:beforeAutospacing="off" w:after="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 xml:space="preserve">Yapılandırma şartlarının ihlali halinde, kaldırılan faiz ve cezaların yeniden uygulanması söz konusu olabilmektedir. </w:t>
      </w:r>
    </w:p>
    <w:p w:rsidR="2A1D03FB" w:rsidP="28855ECB" w:rsidRDefault="2A1D03FB" w14:paraId="4BAA56E5" w14:textId="6A75194B">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Bu nedenle, yapılandırmadan yararlanan işverenlerin ödeme planına uygun şekilde hareket etmeleri büyük önem taşımaktadır.</w:t>
      </w:r>
    </w:p>
    <w:p w:rsidR="2A1D03FB" w:rsidP="28855ECB" w:rsidRDefault="2A1D03FB" w14:paraId="284EDF31" w14:textId="1DE888F7">
      <w:pPr>
        <w:spacing w:before="240" w:beforeAutospacing="off" w:after="240" w:afterAutospacing="off"/>
        <w:jc w:val="both"/>
        <w:rPr>
          <w:rFonts w:ascii="Arial" w:hAnsi="Arial" w:eastAsia="Arial" w:cs="Arial"/>
          <w:noProof w:val="0"/>
          <w:color w:val="auto"/>
          <w:sz w:val="22"/>
          <w:szCs w:val="22"/>
          <w:lang w:val="tr-TR"/>
        </w:rPr>
      </w:pPr>
      <w:r w:rsidRPr="28855ECB" w:rsidR="2A1D03FB">
        <w:rPr>
          <w:rFonts w:ascii="Arial" w:hAnsi="Arial" w:eastAsia="Arial" w:cs="Arial"/>
          <w:noProof w:val="0"/>
          <w:color w:val="auto"/>
          <w:sz w:val="22"/>
          <w:szCs w:val="22"/>
          <w:lang w:val="tr-TR"/>
        </w:rPr>
        <w:t>Başvuru kararının, mali müşavir veya vergi hukuku alanında uzman kişilerden alınacak profesyonel destek doğrultusunda verilmesi, sürecin sağlıklı yürütülmesi açısından önem arz etmektedir.</w:t>
      </w:r>
    </w:p>
    <w:p w:rsidR="28855ECB" w:rsidP="28855ECB" w:rsidRDefault="28855ECB" w14:paraId="4A246B1A" w14:textId="06C2916C">
      <w:pPr>
        <w:pStyle w:val="paragraph"/>
        <w:spacing w:before="0" w:beforeAutospacing="off" w:after="0" w:afterAutospacing="off" w:line="276" w:lineRule="auto"/>
        <w:jc w:val="both"/>
        <w:rPr>
          <w:rStyle w:val="eop"/>
          <w:rFonts w:ascii="Arial" w:hAnsi="Arial" w:eastAsia="Arial" w:cs="Arial"/>
          <w:color w:val="auto"/>
          <w:sz w:val="22"/>
          <w:szCs w:val="22"/>
        </w:rPr>
      </w:pPr>
    </w:p>
    <w:p w:rsidRPr="003C68C7" w:rsidR="00C234F3" w:rsidP="28855ECB" w:rsidRDefault="00C234F3" w14:paraId="6693A1A3" w14:textId="77777777">
      <w:pPr>
        <w:spacing w:line="276" w:lineRule="auto"/>
        <w:jc w:val="both"/>
        <w:rPr>
          <w:rFonts w:ascii="Arial" w:hAnsi="Arial" w:eastAsia="Arial" w:cs="Arial"/>
          <w:b w:val="1"/>
          <w:bCs w:val="1"/>
          <w:color w:val="auto"/>
          <w:sz w:val="22"/>
          <w:szCs w:val="22"/>
        </w:rPr>
      </w:pPr>
      <w:r w:rsidRPr="28855ECB">
        <w:rPr>
          <w:rFonts w:ascii="Arial" w:hAnsi="Arial" w:eastAsia="Arial" w:cs="Arial"/>
          <w:b w:val="1"/>
          <w:bCs w:val="1"/>
          <w:color w:val="auto"/>
          <w:sz w:val="22"/>
          <w:szCs w:val="22"/>
        </w:rPr>
        <w:br w:type="page"/>
      </w:r>
    </w:p>
    <w:p w:rsidRPr="003C68C7" w:rsidR="00B84802" w:rsidP="28855ECB" w:rsidRDefault="00B84802" w14:paraId="24F43CAA" w14:textId="3760B96D">
      <w:pPr>
        <w:pStyle w:val="paragraph"/>
        <w:spacing w:before="0" w:beforeAutospacing="off" w:after="0" w:afterAutospacing="off" w:line="276" w:lineRule="auto"/>
        <w:ind w:left="1080"/>
        <w:jc w:val="both"/>
        <w:textAlignment w:val="baseline"/>
        <w:rPr>
          <w:rStyle w:val="normaltextrun"/>
          <w:rFonts w:ascii="Arial" w:hAnsi="Arial" w:eastAsia="Arial" w:cs="Arial"/>
          <w:b w:val="1"/>
          <w:bCs w:val="1"/>
          <w:color w:val="auto"/>
          <w:sz w:val="22"/>
          <w:szCs w:val="22"/>
        </w:rPr>
      </w:pPr>
      <w:r w:rsidRPr="28855ECB" w:rsidR="5E80B7E4">
        <w:rPr>
          <w:rStyle w:val="normaltextrun"/>
          <w:rFonts w:ascii="Arial" w:hAnsi="Arial" w:eastAsia="Arial" w:cs="Arial"/>
          <w:b w:val="1"/>
          <w:bCs w:val="1"/>
          <w:color w:val="auto"/>
          <w:sz w:val="22"/>
          <w:szCs w:val="22"/>
        </w:rPr>
        <w:t>KASIM 2025</w:t>
      </w:r>
    </w:p>
    <w:p w:rsidRPr="003C68C7" w:rsidR="00B84802" w:rsidP="28855ECB" w:rsidRDefault="00B84802" w14:paraId="33C2220D" w14:textId="77777777">
      <w:pPr>
        <w:pStyle w:val="paragraph"/>
        <w:spacing w:before="0" w:beforeAutospacing="off" w:after="0" w:afterAutospacing="off" w:line="276" w:lineRule="auto"/>
        <w:ind w:left="1080"/>
        <w:jc w:val="both"/>
        <w:textAlignment w:val="baseline"/>
        <w:rPr>
          <w:rStyle w:val="normaltextrun"/>
          <w:rFonts w:ascii="Arial" w:hAnsi="Arial" w:eastAsia="Arial" w:cs="Arial"/>
          <w:b w:val="1"/>
          <w:bCs w:val="1"/>
          <w:color w:val="auto"/>
          <w:sz w:val="22"/>
          <w:szCs w:val="22"/>
        </w:rPr>
      </w:pPr>
    </w:p>
    <w:p w:rsidR="6DF7C38F" w:rsidP="28855ECB" w:rsidRDefault="6DF7C38F" w14:paraId="4CF1FA73" w14:textId="371F1CC6">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b w:val="1"/>
          <w:bCs w:val="1"/>
          <w:noProof w:val="0"/>
          <w:color w:val="auto"/>
          <w:sz w:val="22"/>
          <w:szCs w:val="22"/>
          <w:lang w:val="tr-TR"/>
        </w:rPr>
        <w:t>ERGİ HUKUKU SERİSİ #2 – VERGİSEL RİSK YÖNETİMİ</w:t>
      </w:r>
      <w:r w:rsidRPr="28855ECB" w:rsidR="6DF7C38F">
        <w:rPr>
          <w:rFonts w:ascii="Arial" w:hAnsi="Arial" w:eastAsia="Arial" w:cs="Arial"/>
          <w:noProof w:val="0"/>
          <w:color w:val="auto"/>
          <w:sz w:val="22"/>
          <w:szCs w:val="22"/>
          <w:lang w:val="tr-TR"/>
        </w:rPr>
        <w:t xml:space="preserve"> </w:t>
      </w:r>
    </w:p>
    <w:p w:rsidR="6DF7C38F" w:rsidP="28855ECB" w:rsidRDefault="6DF7C38F" w14:paraId="1B12FAFC" w14:textId="74DE8E61">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Vergi mevzuatı, kapsamı ve uygulama yoğunluğu itibarıyla işletmeler bakımından kritik bir yönetişim alanı teşkil etmektedir. İş dünyasında alınan her stratejik kararın vergisel bir yansıması bulunmakta olup, bu yansımanın doğru değerlendirilmemesi halinde idari yaptırımlar, gecikme faizleri ve vergi incelemeleri ile karşılaşma ihtimali artmaktadır. Bu nedenle vergisel risk yönetimi, işletmenin finansal sürdürülebilirliği ile kurumsal itibarını eş zamanlı olarak etkileyen bir süreç olarak önem arz etmektedir. Modern vergi idaresinin dijital denetim kapasitesinin artması da bu süreci daha görünür ve denetlenebilir hâle getirmektedir.</w:t>
      </w:r>
    </w:p>
    <w:p w:rsidR="6DF7C38F" w:rsidP="28855ECB" w:rsidRDefault="6DF7C38F" w14:paraId="0E432229" w14:textId="04B0BE1B">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Vergisel risk yönetiminin temel amacı, belirsizliklerin tespit edilerek kontrol altına alınması ve mevzuat ile uygulama arasındaki uyumun sistematik bir şekilde sağlanmasıdır. Bu çerçevede işletmeler, yalnızca teknik düzenlemelere uyum sağlamakla yetinmemekte; süreçlerini, iç kontrol mekanizmalarını ve veri akışını yeniden değerlendirmektedir.</w:t>
      </w:r>
    </w:p>
    <w:p w:rsidR="6DF7C38F" w:rsidP="28855ECB" w:rsidRDefault="6DF7C38F" w14:paraId="572A9216" w14:textId="1285378A">
      <w:pPr>
        <w:pStyle w:val="Balk3"/>
        <w:spacing w:before="281" w:beforeAutospacing="off" w:after="281" w:afterAutospacing="off"/>
        <w:jc w:val="both"/>
        <w:rPr>
          <w:rFonts w:ascii="Arial" w:hAnsi="Arial" w:eastAsia="Arial" w:cs="Arial"/>
          <w:b w:val="1"/>
          <w:bCs w:val="1"/>
          <w:noProof w:val="0"/>
          <w:color w:val="auto"/>
          <w:sz w:val="22"/>
          <w:szCs w:val="22"/>
          <w:lang w:val="tr-TR"/>
        </w:rPr>
      </w:pPr>
      <w:r w:rsidRPr="28855ECB" w:rsidR="6DF7C38F">
        <w:rPr>
          <w:rFonts w:ascii="Arial" w:hAnsi="Arial" w:eastAsia="Arial" w:cs="Arial"/>
          <w:b w:val="1"/>
          <w:bCs w:val="1"/>
          <w:noProof w:val="0"/>
          <w:color w:val="auto"/>
          <w:sz w:val="22"/>
          <w:szCs w:val="22"/>
          <w:lang w:val="tr-TR"/>
        </w:rPr>
        <w:t>I. Vergisel Risklerin Kaynakları ve İşleyiş Üzerindeki Etkileri</w:t>
      </w:r>
    </w:p>
    <w:p w:rsidR="6DF7C38F" w:rsidP="28855ECB" w:rsidRDefault="6DF7C38F" w14:paraId="651DFB57" w14:textId="4CC749CD">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Vergisel riskler çoğu zaman tek bir nedene dayanmamakta; uygulama farklılıkları, mevzuatın yoruma açık hükümleri, güncellemelerin takip edilmemesi, iç kontrol zafiyetleri ve belge yönetimindeki hataların bir araya gelmesi sonucunda ortaya çıkmaktadır. Bu durum işletmeler bakımından önemli hukuki ve mali sonuçlar doğurmaktadır.</w:t>
      </w:r>
    </w:p>
    <w:p w:rsidR="6DF7C38F" w:rsidP="28855ECB" w:rsidRDefault="6DF7C38F" w14:paraId="6FC679D0" w14:textId="76D760EE">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Bu risklerin belirginleştiği başlıca alanlar aşağıdaki gibidir:</w:t>
      </w:r>
    </w:p>
    <w:p w:rsidR="6DF7C38F" w:rsidP="28855ECB" w:rsidRDefault="6DF7C38F" w14:paraId="162C9423" w14:textId="069811D2">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 xml:space="preserve">• </w:t>
      </w:r>
      <w:r w:rsidRPr="28855ECB" w:rsidR="6DF7C38F">
        <w:rPr>
          <w:rFonts w:ascii="Arial" w:hAnsi="Arial" w:eastAsia="Arial" w:cs="Arial"/>
          <w:b w:val="1"/>
          <w:bCs w:val="1"/>
          <w:noProof w:val="0"/>
          <w:color w:val="auto"/>
          <w:sz w:val="22"/>
          <w:szCs w:val="22"/>
          <w:lang w:val="tr-TR"/>
        </w:rPr>
        <w:t>Mevzuat değişikliklerinin izlenmemesi</w:t>
      </w:r>
      <w:r>
        <w:br/>
      </w:r>
      <w:r w:rsidRPr="28855ECB" w:rsidR="6DF7C38F">
        <w:rPr>
          <w:rFonts w:ascii="Arial" w:hAnsi="Arial" w:eastAsia="Arial" w:cs="Arial"/>
          <w:noProof w:val="0"/>
          <w:color w:val="auto"/>
          <w:sz w:val="22"/>
          <w:szCs w:val="22"/>
          <w:lang w:val="tr-TR"/>
        </w:rPr>
        <w:t xml:space="preserve"> Vergi mevzuatı yıl içerisinde çok sayıda değişikliğe uğramaktadır. Tebliğler, özelgeler, yargı kararları ve idarenin uygulama yaklaşımı hızlı bir şekilde değişebilmektedir. Güncel olmayan süreçlerin uygulanması, işletme bünyesinde zincirleme hatalara yol açabilmektedir.</w:t>
      </w:r>
    </w:p>
    <w:p w:rsidR="6DF7C38F" w:rsidP="28855ECB" w:rsidRDefault="6DF7C38F" w14:paraId="1DCDFF83" w14:textId="56F70A01">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 xml:space="preserve">• </w:t>
      </w:r>
      <w:r w:rsidRPr="28855ECB" w:rsidR="6DF7C38F">
        <w:rPr>
          <w:rFonts w:ascii="Arial" w:hAnsi="Arial" w:eastAsia="Arial" w:cs="Arial"/>
          <w:b w:val="1"/>
          <w:bCs w:val="1"/>
          <w:noProof w:val="0"/>
          <w:color w:val="auto"/>
          <w:sz w:val="22"/>
          <w:szCs w:val="22"/>
          <w:lang w:val="tr-TR"/>
        </w:rPr>
        <w:t>Kayıt ve belge düzeninde tutarsızlıklar</w:t>
      </w:r>
      <w:r>
        <w:br/>
      </w:r>
      <w:r w:rsidRPr="28855ECB" w:rsidR="6DF7C38F">
        <w:rPr>
          <w:rFonts w:ascii="Arial" w:hAnsi="Arial" w:eastAsia="Arial" w:cs="Arial"/>
          <w:noProof w:val="0"/>
          <w:color w:val="auto"/>
          <w:sz w:val="22"/>
          <w:szCs w:val="22"/>
          <w:lang w:val="tr-TR"/>
        </w:rPr>
        <w:t xml:space="preserve"> Muhasebe kayıtlarının birbirini desteklememesi, fatura düzenlenmesinde gecikmeler, giderlerin niteliğine uygun olmayan muhasebeleştirme işlemleri gibi durumlar vergi incelemesi riskini artırmaktadır. Vergi idaresinin elektronik analiz araçları bu tür tutarsızlıkları hızlı ve etkin bir şekilde tespit edebilmektedir.</w:t>
      </w:r>
    </w:p>
    <w:p w:rsidR="6DF7C38F" w:rsidP="28855ECB" w:rsidRDefault="6DF7C38F" w14:paraId="2E82BEA8" w14:textId="4E3E94AC">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 xml:space="preserve">• </w:t>
      </w:r>
      <w:r w:rsidRPr="28855ECB" w:rsidR="6DF7C38F">
        <w:rPr>
          <w:rFonts w:ascii="Arial" w:hAnsi="Arial" w:eastAsia="Arial" w:cs="Arial"/>
          <w:b w:val="1"/>
          <w:bCs w:val="1"/>
          <w:noProof w:val="0"/>
          <w:color w:val="auto"/>
          <w:sz w:val="22"/>
          <w:szCs w:val="22"/>
          <w:lang w:val="tr-TR"/>
        </w:rPr>
        <w:t>Yanlış yorumlanan vergi avantajları ve teşvikler</w:t>
      </w:r>
      <w:r>
        <w:br/>
      </w:r>
      <w:r w:rsidRPr="28855ECB" w:rsidR="6DF7C38F">
        <w:rPr>
          <w:rFonts w:ascii="Arial" w:hAnsi="Arial" w:eastAsia="Arial" w:cs="Arial"/>
          <w:noProof w:val="0"/>
          <w:color w:val="auto"/>
          <w:sz w:val="22"/>
          <w:szCs w:val="22"/>
          <w:lang w:val="tr-TR"/>
        </w:rPr>
        <w:t xml:space="preserve"> Vergisel teşviklerin kapsamının geniş olduğu durumlarda yanlış uygulama riski ortaya çıkmaktadır. Bir avantajdan yararlanma şartlarının eksiksiz sağlanmaması halinde, idare tarafından geriye dönük olarak yüksek tutarlı tarhiyatlar tesis edilebilmektedir.</w:t>
      </w:r>
    </w:p>
    <w:p w:rsidR="6DF7C38F" w:rsidP="28855ECB" w:rsidRDefault="6DF7C38F" w14:paraId="7A6669FE" w14:textId="0759F455">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Sonuç olarak, vergisel risklerin kaynağı yalnızca teknik eksikliklerden ibaret olmayıp; işletmenin iç iletişim modeli, süreç kurgusu ve karar alma mekanizmaları üzerinde de doğrudan etkili olmaktadır. Bu nedenle risk yönetimi, hukuki bilgi ile kurumsal yönetişim yaklaşımının birleştiği bir alan hâline gelmektedir.</w:t>
      </w:r>
    </w:p>
    <w:p w:rsidR="6DF7C38F" w:rsidP="28855ECB" w:rsidRDefault="6DF7C38F" w14:paraId="4C7252BC" w14:textId="4806ABD0">
      <w:pPr>
        <w:pStyle w:val="Balk3"/>
        <w:spacing w:before="281" w:beforeAutospacing="off" w:after="281" w:afterAutospacing="off"/>
        <w:jc w:val="both"/>
        <w:rPr>
          <w:rFonts w:ascii="Arial" w:hAnsi="Arial" w:eastAsia="Arial" w:cs="Arial"/>
          <w:b w:val="1"/>
          <w:bCs w:val="1"/>
          <w:noProof w:val="0"/>
          <w:color w:val="auto"/>
          <w:sz w:val="22"/>
          <w:szCs w:val="22"/>
          <w:lang w:val="tr-TR"/>
        </w:rPr>
      </w:pPr>
      <w:r w:rsidRPr="28855ECB" w:rsidR="6DF7C38F">
        <w:rPr>
          <w:rFonts w:ascii="Arial" w:hAnsi="Arial" w:eastAsia="Arial" w:cs="Arial"/>
          <w:b w:val="1"/>
          <w:bCs w:val="1"/>
          <w:noProof w:val="0"/>
          <w:color w:val="auto"/>
          <w:sz w:val="22"/>
          <w:szCs w:val="22"/>
          <w:lang w:val="tr-TR"/>
        </w:rPr>
        <w:t>II. Etkin Vergisel Risk Yönetimi İçin Sistematik Yaklaşımlar</w:t>
      </w:r>
    </w:p>
    <w:p w:rsidR="6DF7C38F" w:rsidP="28855ECB" w:rsidRDefault="6DF7C38F" w14:paraId="3C2D8765" w14:textId="1B853841">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Vergisel risk yönetimi, dağınık uygulamalardan oluşan bir yapı olmaktan çıkmakta; planlı, sistematik ve veri odaklı bir çerçeveye kavuşmaktadır. Etkin bir yaklaşım aşağıdaki temel unsurlar üzerine kurulmaktadır:</w:t>
      </w:r>
    </w:p>
    <w:p w:rsidR="6DF7C38F" w:rsidP="28855ECB" w:rsidRDefault="6DF7C38F" w14:paraId="49569AC2" w14:textId="5870E933">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 xml:space="preserve">• </w:t>
      </w:r>
      <w:r w:rsidRPr="28855ECB" w:rsidR="6DF7C38F">
        <w:rPr>
          <w:rFonts w:ascii="Arial" w:hAnsi="Arial" w:eastAsia="Arial" w:cs="Arial"/>
          <w:b w:val="1"/>
          <w:bCs w:val="1"/>
          <w:noProof w:val="0"/>
          <w:color w:val="auto"/>
          <w:sz w:val="22"/>
          <w:szCs w:val="22"/>
          <w:lang w:val="tr-TR"/>
        </w:rPr>
        <w:t>İç kontrol mekanizmalarının güncellenmesi</w:t>
      </w:r>
      <w:r>
        <w:br/>
      </w:r>
      <w:r w:rsidRPr="28855ECB" w:rsidR="6DF7C38F">
        <w:rPr>
          <w:rFonts w:ascii="Arial" w:hAnsi="Arial" w:eastAsia="Arial" w:cs="Arial"/>
          <w:noProof w:val="0"/>
          <w:color w:val="auto"/>
          <w:sz w:val="22"/>
          <w:szCs w:val="22"/>
          <w:lang w:val="tr-TR"/>
        </w:rPr>
        <w:t xml:space="preserve"> Vergi süreçlerine ilişkin kontrol noktalarının belirlenmesi, görev tanımlarının açıkça ortaya konulması, belge akışının standartlaştırılması ve onay mekanizmalarının geliştirilmesi önem arz etmektedir. Bu yapı, işletmenin denetime hazırlık kapasitesini artırmaktadır.</w:t>
      </w:r>
    </w:p>
    <w:p w:rsidR="6DF7C38F" w:rsidP="28855ECB" w:rsidRDefault="6DF7C38F" w14:paraId="095A527C" w14:textId="4CF0C79D">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 xml:space="preserve">• </w:t>
      </w:r>
      <w:r w:rsidRPr="28855ECB" w:rsidR="6DF7C38F">
        <w:rPr>
          <w:rFonts w:ascii="Arial" w:hAnsi="Arial" w:eastAsia="Arial" w:cs="Arial"/>
          <w:b w:val="1"/>
          <w:bCs w:val="1"/>
          <w:noProof w:val="0"/>
          <w:color w:val="auto"/>
          <w:sz w:val="22"/>
          <w:szCs w:val="22"/>
          <w:lang w:val="tr-TR"/>
        </w:rPr>
        <w:t>Düzenli uyum incelemeleri (tax review)</w:t>
      </w:r>
      <w:r>
        <w:br/>
      </w:r>
      <w:r w:rsidRPr="28855ECB" w:rsidR="6DF7C38F">
        <w:rPr>
          <w:rFonts w:ascii="Arial" w:hAnsi="Arial" w:eastAsia="Arial" w:cs="Arial"/>
          <w:noProof w:val="0"/>
          <w:color w:val="auto"/>
          <w:sz w:val="22"/>
          <w:szCs w:val="22"/>
          <w:lang w:val="tr-TR"/>
        </w:rPr>
        <w:t xml:space="preserve"> Bağımsız bir göz tarafından gerçekleştirilen periyodik incelemeler, işletmenin risk profilini somut verilerle ortaya koymaktadır. Bu incelemelerde hatalı uygulamalar tespit edilmekte, iyileştirme önerileri sunulmakta ve ilerleyen dönemlerde ortaya çıkabilecek uyuşmazlıkların önüne geçilmektedir.</w:t>
      </w:r>
    </w:p>
    <w:p w:rsidR="6DF7C38F" w:rsidP="28855ECB" w:rsidRDefault="6DF7C38F" w14:paraId="5717B2CE" w14:textId="67D79318">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 xml:space="preserve">• </w:t>
      </w:r>
      <w:r w:rsidRPr="28855ECB" w:rsidR="6DF7C38F">
        <w:rPr>
          <w:rFonts w:ascii="Arial" w:hAnsi="Arial" w:eastAsia="Arial" w:cs="Arial"/>
          <w:b w:val="1"/>
          <w:bCs w:val="1"/>
          <w:noProof w:val="0"/>
          <w:color w:val="auto"/>
          <w:sz w:val="22"/>
          <w:szCs w:val="22"/>
          <w:lang w:val="tr-TR"/>
        </w:rPr>
        <w:t>Dijital vergi yönetimi modellerinin benimsenmesi</w:t>
      </w:r>
      <w:r>
        <w:br/>
      </w:r>
      <w:r w:rsidRPr="28855ECB" w:rsidR="6DF7C38F">
        <w:rPr>
          <w:rFonts w:ascii="Arial" w:hAnsi="Arial" w:eastAsia="Arial" w:cs="Arial"/>
          <w:noProof w:val="0"/>
          <w:color w:val="auto"/>
          <w:sz w:val="22"/>
          <w:szCs w:val="22"/>
          <w:lang w:val="tr-TR"/>
        </w:rPr>
        <w:t xml:space="preserve"> E-fatura, e-defter ve e-arşiv gibi dijital uygulamalar, işletmeler açısından yalnızca bir yükümlülük değil, aynı zamanda vergisel risk yönetiminin ayrılmaz bir parçası hâline gelmektedir. Veri analiz kapasitesinin artması, işletmenin hem vergi idaresi karşısında hem de iç denetim süreçlerinde daha sağlam bir zemine sahip olmasına katkı sağlamaktadır.</w:t>
      </w:r>
    </w:p>
    <w:p w:rsidR="6DF7C38F" w:rsidP="28855ECB" w:rsidRDefault="6DF7C38F" w14:paraId="073A238B" w14:textId="1A641B9B">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 xml:space="preserve">• </w:t>
      </w:r>
      <w:r w:rsidRPr="28855ECB" w:rsidR="6DF7C38F">
        <w:rPr>
          <w:rFonts w:ascii="Arial" w:hAnsi="Arial" w:eastAsia="Arial" w:cs="Arial"/>
          <w:b w:val="1"/>
          <w:bCs w:val="1"/>
          <w:noProof w:val="0"/>
          <w:color w:val="auto"/>
          <w:sz w:val="22"/>
          <w:szCs w:val="22"/>
          <w:lang w:val="tr-TR"/>
        </w:rPr>
        <w:t>Yargı kararları ve özelgelerin sistematik takibi</w:t>
      </w:r>
      <w:r>
        <w:br/>
      </w:r>
      <w:r w:rsidRPr="28855ECB" w:rsidR="6DF7C38F">
        <w:rPr>
          <w:rFonts w:ascii="Arial" w:hAnsi="Arial" w:eastAsia="Arial" w:cs="Arial"/>
          <w:noProof w:val="0"/>
          <w:color w:val="auto"/>
          <w:sz w:val="22"/>
          <w:szCs w:val="22"/>
          <w:lang w:val="tr-TR"/>
        </w:rPr>
        <w:t xml:space="preserve"> Uygulamadaki belirsizlikler, yargı içtihatları ve idarenin açıklamaları ile büyük ölçüde giderilmektedir. Bu kaynakların düzenli olarak takip edilmemesi, işletmenin mevcut risklerini doğru şekilde değerlendirememesine yol açabilmektedir.</w:t>
      </w:r>
    </w:p>
    <w:p w:rsidR="6DF7C38F" w:rsidP="28855ECB" w:rsidRDefault="6DF7C38F" w14:paraId="0D8960A0" w14:textId="737EF443">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Bu yaklaşımlar, vergisel risk yönetimini yalnızca bir “maliyet azaltma aracı” olmaktan çıkararak, işletmenin uzun vadeli planlamasını destekleyen kurumsal bir güvenlik mekanizması hâline getirmektedir.</w:t>
      </w:r>
    </w:p>
    <w:p w:rsidR="6DF7C38F" w:rsidP="28855ECB" w:rsidRDefault="6DF7C38F" w14:paraId="304B89A6" w14:textId="6CCB891E">
      <w:pPr>
        <w:pStyle w:val="Balk3"/>
        <w:spacing w:before="281" w:beforeAutospacing="off" w:after="281" w:afterAutospacing="off"/>
        <w:jc w:val="both"/>
        <w:rPr>
          <w:rFonts w:ascii="Arial" w:hAnsi="Arial" w:eastAsia="Arial" w:cs="Arial"/>
          <w:b w:val="1"/>
          <w:bCs w:val="1"/>
          <w:noProof w:val="0"/>
          <w:color w:val="auto"/>
          <w:sz w:val="22"/>
          <w:szCs w:val="22"/>
          <w:lang w:val="tr-TR"/>
        </w:rPr>
      </w:pPr>
      <w:r w:rsidRPr="28855ECB" w:rsidR="6DF7C38F">
        <w:rPr>
          <w:rFonts w:ascii="Arial" w:hAnsi="Arial" w:eastAsia="Arial" w:cs="Arial"/>
          <w:b w:val="1"/>
          <w:bCs w:val="1"/>
          <w:noProof w:val="0"/>
          <w:color w:val="auto"/>
          <w:sz w:val="22"/>
          <w:szCs w:val="22"/>
          <w:lang w:val="tr-TR"/>
        </w:rPr>
        <w:t>Sonuç</w:t>
      </w:r>
    </w:p>
    <w:p w:rsidR="6DF7C38F" w:rsidP="28855ECB" w:rsidRDefault="6DF7C38F" w14:paraId="58833441" w14:textId="28CD29A1">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Vergisel risk yönetimi, işletmelerin yalnızca cezai yaptırımlardan kaçınmak amacıyla başvurduğu bir yöntem olmayıp; kurumsal hafızayı güçlendiren, karar alma süreçlerini destekleyen ve finansal istikrarı koruyan stratejik bir yapı niteliğindedir. Vergi mevzuatındaki değişim hızının artması, dijital denetim araçlarının gelişmesi ve uluslararası uyum standartlarının yükselmesi, işletmeler açısından proaktif yönetimi zorunlu kılmaktadır.</w:t>
      </w:r>
    </w:p>
    <w:p w:rsidR="6DF7C38F" w:rsidP="28855ECB" w:rsidRDefault="6DF7C38F" w14:paraId="3D1486F4" w14:textId="1E2AE934">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Bu nedenle vergisel riskler, sonradan müdahale edilen sorunlar olarak ele alınmamalı; düzenli olarak gözden geçirilen, iç kontrol mekanizmalarıyla desteklenen ve uzman görüşleri doğrultusunda değerlendirilen bir sistem içerisinde yönetilmelidir.</w:t>
      </w:r>
    </w:p>
    <w:p w:rsidR="6DF7C38F" w:rsidP="28855ECB" w:rsidRDefault="6DF7C38F" w14:paraId="2BD0BABD" w14:textId="167A4564">
      <w:pPr>
        <w:spacing w:before="240" w:beforeAutospacing="off" w:after="240" w:afterAutospacing="off"/>
        <w:jc w:val="both"/>
        <w:rPr>
          <w:rFonts w:ascii="Arial" w:hAnsi="Arial" w:eastAsia="Arial" w:cs="Arial"/>
          <w:noProof w:val="0"/>
          <w:color w:val="auto"/>
          <w:sz w:val="22"/>
          <w:szCs w:val="22"/>
          <w:lang w:val="tr-TR"/>
        </w:rPr>
      </w:pPr>
      <w:r w:rsidRPr="28855ECB" w:rsidR="6DF7C38F">
        <w:rPr>
          <w:rFonts w:ascii="Arial" w:hAnsi="Arial" w:eastAsia="Arial" w:cs="Arial"/>
          <w:noProof w:val="0"/>
          <w:color w:val="auto"/>
          <w:sz w:val="22"/>
          <w:szCs w:val="22"/>
          <w:lang w:val="tr-TR"/>
        </w:rPr>
        <w:t>İşletmelerin vergisel risk yönetimine kurumsal bir perspektifle yaklaşmaları, hem hukuki güvenliklerinin hem de finansal dayanıklılıklarının güçlenmesini sağlamaktadır.</w:t>
      </w:r>
    </w:p>
    <w:p w:rsidR="28855ECB" w:rsidP="28855ECB" w:rsidRDefault="28855ECB" w14:paraId="47221259" w14:textId="5B86EF51">
      <w:pPr>
        <w:pStyle w:val="paragraph"/>
        <w:spacing w:before="0" w:beforeAutospacing="off" w:after="0" w:afterAutospacing="off" w:line="276" w:lineRule="auto"/>
        <w:jc w:val="both"/>
        <w:rPr>
          <w:rStyle w:val="eop"/>
          <w:rFonts w:ascii="Arial" w:hAnsi="Arial" w:eastAsia="Arial" w:cs="Arial"/>
          <w:color w:val="auto"/>
          <w:sz w:val="22"/>
          <w:szCs w:val="22"/>
        </w:rPr>
      </w:pPr>
    </w:p>
    <w:p w:rsidRPr="003C68C7" w:rsidR="007A2FA6" w:rsidP="28855ECB" w:rsidRDefault="007A2FA6" w14:paraId="584A2106" w14:textId="77777777">
      <w:pPr>
        <w:spacing w:line="276" w:lineRule="auto"/>
        <w:jc w:val="both"/>
        <w:rPr>
          <w:rFonts w:ascii="Arial" w:hAnsi="Arial" w:eastAsia="Arial" w:cs="Arial"/>
          <w:b w:val="1"/>
          <w:bCs w:val="1"/>
          <w:color w:val="auto"/>
          <w:sz w:val="22"/>
          <w:szCs w:val="22"/>
        </w:rPr>
      </w:pPr>
    </w:p>
    <w:sectPr w:rsidRPr="003C68C7" w:rsidR="007A2FA6">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textHash int2:hashCode="c+XAjgAGIifESP" int2:id="QGjiE5Yb">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
    <w:nsid w:val="3122ee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b4212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61ce7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9302c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712f8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441E6A4C"/>
    <w:multiLevelType w:val="multilevel"/>
    <w:tmpl w:val="450A00C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19294B"/>
    <w:multiLevelType w:val="multilevel"/>
    <w:tmpl w:val="A8007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7">
    <w:abstractNumId w:val="6"/>
  </w:num>
  <w:num w:numId="6">
    <w:abstractNumId w:val="5"/>
  </w:num>
  <w:num w:numId="5">
    <w:abstractNumId w:val="4"/>
  </w:num>
  <w:num w:numId="4">
    <w:abstractNumId w:val="3"/>
  </w:num>
  <w:num w:numId="3">
    <w:abstractNumId w:val="2"/>
  </w:num>
  <w:num w:numId="1" w16cid:durableId="1652901239">
    <w:abstractNumId w:val="1"/>
  </w:num>
  <w:num w:numId="2" w16cid:durableId="1377392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E3B"/>
    <w:rsid w:val="002A07E6"/>
    <w:rsid w:val="00371403"/>
    <w:rsid w:val="003C68C7"/>
    <w:rsid w:val="00444CBB"/>
    <w:rsid w:val="00485E3B"/>
    <w:rsid w:val="006B5997"/>
    <w:rsid w:val="00702855"/>
    <w:rsid w:val="007A2FA6"/>
    <w:rsid w:val="00A063BB"/>
    <w:rsid w:val="00B84802"/>
    <w:rsid w:val="00C07255"/>
    <w:rsid w:val="00C234F3"/>
    <w:rsid w:val="03995A49"/>
    <w:rsid w:val="03D415BB"/>
    <w:rsid w:val="0593BFE3"/>
    <w:rsid w:val="078F4AFF"/>
    <w:rsid w:val="0AF4E378"/>
    <w:rsid w:val="11279D92"/>
    <w:rsid w:val="112A5ABC"/>
    <w:rsid w:val="11F4A318"/>
    <w:rsid w:val="142BF334"/>
    <w:rsid w:val="14CC51CB"/>
    <w:rsid w:val="1702DC04"/>
    <w:rsid w:val="1F8ECC5B"/>
    <w:rsid w:val="28855ECB"/>
    <w:rsid w:val="296B6D27"/>
    <w:rsid w:val="2A1D03FB"/>
    <w:rsid w:val="2C272C94"/>
    <w:rsid w:val="2D29EDD0"/>
    <w:rsid w:val="2D4DBFD1"/>
    <w:rsid w:val="3545FD52"/>
    <w:rsid w:val="359602B4"/>
    <w:rsid w:val="36D1838C"/>
    <w:rsid w:val="37C3D254"/>
    <w:rsid w:val="387600A0"/>
    <w:rsid w:val="422661E4"/>
    <w:rsid w:val="48B9ED0B"/>
    <w:rsid w:val="59187D5F"/>
    <w:rsid w:val="5B74C133"/>
    <w:rsid w:val="5E80B7E4"/>
    <w:rsid w:val="5EEE0871"/>
    <w:rsid w:val="6036C13B"/>
    <w:rsid w:val="6323D3F8"/>
    <w:rsid w:val="6BCF6C81"/>
    <w:rsid w:val="6D86D670"/>
    <w:rsid w:val="6DF7C38F"/>
    <w:rsid w:val="6ED4EE37"/>
    <w:rsid w:val="71FF2235"/>
    <w:rsid w:val="74502BE5"/>
    <w:rsid w:val="7BDB1C13"/>
    <w:rsid w:val="7C98A1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CEBE3"/>
  <w15:chartTrackingRefBased/>
  <w15:docId w15:val="{0137F737-FCA8-41B6-A827-0CDE4DD74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noProof/>
      <w:lang w:val="en-US"/>
    </w:rPr>
  </w:style>
  <w:style w:type="paragraph" w:styleId="Balk1">
    <w:name w:val="heading 1"/>
    <w:basedOn w:val="Normal"/>
    <w:next w:val="Normal"/>
    <w:link w:val="Balk1Char"/>
    <w:uiPriority w:val="9"/>
    <w:qFormat/>
    <w:rsid w:val="00485E3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85E3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85E3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85E3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85E3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85E3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85E3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85E3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85E3B"/>
    <w:pPr>
      <w:keepNext/>
      <w:keepLines/>
      <w:spacing w:after="0"/>
      <w:outlineLvl w:val="8"/>
    </w:pPr>
    <w:rPr>
      <w:rFonts w:eastAsiaTheme="majorEastAsia" w:cstheme="majorBidi"/>
      <w:color w:val="272727" w:themeColor="text1" w:themeTint="D8"/>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character" w:styleId="Balk1Char" w:customStyle="1">
    <w:name w:val="Başlık 1 Char"/>
    <w:basedOn w:val="VarsaylanParagrafYazTipi"/>
    <w:link w:val="Balk1"/>
    <w:uiPriority w:val="9"/>
    <w:rsid w:val="00485E3B"/>
    <w:rPr>
      <w:rFonts w:asciiTheme="majorHAnsi" w:hAnsiTheme="majorHAnsi" w:eastAsiaTheme="majorEastAsia" w:cstheme="majorBidi"/>
      <w:noProof/>
      <w:color w:val="0F4761" w:themeColor="accent1" w:themeShade="BF"/>
      <w:sz w:val="40"/>
      <w:szCs w:val="40"/>
      <w:lang w:val="en-US"/>
    </w:rPr>
  </w:style>
  <w:style w:type="character" w:styleId="Balk2Char" w:customStyle="1">
    <w:name w:val="Başlık 2 Char"/>
    <w:basedOn w:val="VarsaylanParagrafYazTipi"/>
    <w:link w:val="Balk2"/>
    <w:uiPriority w:val="9"/>
    <w:semiHidden/>
    <w:rsid w:val="00485E3B"/>
    <w:rPr>
      <w:rFonts w:asciiTheme="majorHAnsi" w:hAnsiTheme="majorHAnsi" w:eastAsiaTheme="majorEastAsia" w:cstheme="majorBidi"/>
      <w:noProof/>
      <w:color w:val="0F4761" w:themeColor="accent1" w:themeShade="BF"/>
      <w:sz w:val="32"/>
      <w:szCs w:val="32"/>
      <w:lang w:val="en-US"/>
    </w:rPr>
  </w:style>
  <w:style w:type="character" w:styleId="Balk3Char" w:customStyle="1">
    <w:name w:val="Başlık 3 Char"/>
    <w:basedOn w:val="VarsaylanParagrafYazTipi"/>
    <w:link w:val="Balk3"/>
    <w:uiPriority w:val="9"/>
    <w:semiHidden/>
    <w:rsid w:val="00485E3B"/>
    <w:rPr>
      <w:rFonts w:eastAsiaTheme="majorEastAsia" w:cstheme="majorBidi"/>
      <w:noProof/>
      <w:color w:val="0F4761" w:themeColor="accent1" w:themeShade="BF"/>
      <w:sz w:val="28"/>
      <w:szCs w:val="28"/>
      <w:lang w:val="en-US"/>
    </w:rPr>
  </w:style>
  <w:style w:type="character" w:styleId="Balk4Char" w:customStyle="1">
    <w:name w:val="Başlık 4 Char"/>
    <w:basedOn w:val="VarsaylanParagrafYazTipi"/>
    <w:link w:val="Balk4"/>
    <w:uiPriority w:val="9"/>
    <w:semiHidden/>
    <w:rsid w:val="00485E3B"/>
    <w:rPr>
      <w:rFonts w:eastAsiaTheme="majorEastAsia" w:cstheme="majorBidi"/>
      <w:i/>
      <w:iCs/>
      <w:noProof/>
      <w:color w:val="0F4761" w:themeColor="accent1" w:themeShade="BF"/>
      <w:lang w:val="en-US"/>
    </w:rPr>
  </w:style>
  <w:style w:type="character" w:styleId="Balk5Char" w:customStyle="1">
    <w:name w:val="Başlık 5 Char"/>
    <w:basedOn w:val="VarsaylanParagrafYazTipi"/>
    <w:link w:val="Balk5"/>
    <w:uiPriority w:val="9"/>
    <w:semiHidden/>
    <w:rsid w:val="00485E3B"/>
    <w:rPr>
      <w:rFonts w:eastAsiaTheme="majorEastAsia" w:cstheme="majorBidi"/>
      <w:noProof/>
      <w:color w:val="0F4761" w:themeColor="accent1" w:themeShade="BF"/>
      <w:lang w:val="en-US"/>
    </w:rPr>
  </w:style>
  <w:style w:type="character" w:styleId="Balk6Char" w:customStyle="1">
    <w:name w:val="Başlık 6 Char"/>
    <w:basedOn w:val="VarsaylanParagrafYazTipi"/>
    <w:link w:val="Balk6"/>
    <w:uiPriority w:val="9"/>
    <w:semiHidden/>
    <w:rsid w:val="00485E3B"/>
    <w:rPr>
      <w:rFonts w:eastAsiaTheme="majorEastAsia" w:cstheme="majorBidi"/>
      <w:i/>
      <w:iCs/>
      <w:noProof/>
      <w:color w:val="595959" w:themeColor="text1" w:themeTint="A6"/>
      <w:lang w:val="en-US"/>
    </w:rPr>
  </w:style>
  <w:style w:type="character" w:styleId="Balk7Char" w:customStyle="1">
    <w:name w:val="Başlık 7 Char"/>
    <w:basedOn w:val="VarsaylanParagrafYazTipi"/>
    <w:link w:val="Balk7"/>
    <w:uiPriority w:val="9"/>
    <w:semiHidden/>
    <w:rsid w:val="00485E3B"/>
    <w:rPr>
      <w:rFonts w:eastAsiaTheme="majorEastAsia" w:cstheme="majorBidi"/>
      <w:noProof/>
      <w:color w:val="595959" w:themeColor="text1" w:themeTint="A6"/>
      <w:lang w:val="en-US"/>
    </w:rPr>
  </w:style>
  <w:style w:type="character" w:styleId="Balk8Char" w:customStyle="1">
    <w:name w:val="Başlık 8 Char"/>
    <w:basedOn w:val="VarsaylanParagrafYazTipi"/>
    <w:link w:val="Balk8"/>
    <w:uiPriority w:val="9"/>
    <w:semiHidden/>
    <w:rsid w:val="00485E3B"/>
    <w:rPr>
      <w:rFonts w:eastAsiaTheme="majorEastAsia" w:cstheme="majorBidi"/>
      <w:i/>
      <w:iCs/>
      <w:noProof/>
      <w:color w:val="272727" w:themeColor="text1" w:themeTint="D8"/>
      <w:lang w:val="en-US"/>
    </w:rPr>
  </w:style>
  <w:style w:type="character" w:styleId="Balk9Char" w:customStyle="1">
    <w:name w:val="Başlık 9 Char"/>
    <w:basedOn w:val="VarsaylanParagrafYazTipi"/>
    <w:link w:val="Balk9"/>
    <w:uiPriority w:val="9"/>
    <w:semiHidden/>
    <w:rsid w:val="00485E3B"/>
    <w:rPr>
      <w:rFonts w:eastAsiaTheme="majorEastAsia" w:cstheme="majorBidi"/>
      <w:noProof/>
      <w:color w:val="272727" w:themeColor="text1" w:themeTint="D8"/>
      <w:lang w:val="en-US"/>
    </w:rPr>
  </w:style>
  <w:style w:type="paragraph" w:styleId="KonuBal">
    <w:name w:val="Title"/>
    <w:basedOn w:val="Normal"/>
    <w:next w:val="Normal"/>
    <w:link w:val="KonuBalChar"/>
    <w:uiPriority w:val="10"/>
    <w:qFormat/>
    <w:rsid w:val="00485E3B"/>
    <w:pPr>
      <w:spacing w:after="80" w:line="240" w:lineRule="auto"/>
      <w:contextualSpacing/>
    </w:pPr>
    <w:rPr>
      <w:rFonts w:asciiTheme="majorHAnsi" w:hAnsiTheme="majorHAnsi" w:eastAsiaTheme="majorEastAsia" w:cstheme="majorBidi"/>
      <w:spacing w:val="-10"/>
      <w:kern w:val="28"/>
      <w:sz w:val="56"/>
      <w:szCs w:val="56"/>
    </w:rPr>
  </w:style>
  <w:style w:type="character" w:styleId="KonuBalChar" w:customStyle="1">
    <w:name w:val="Konu Başlığı Char"/>
    <w:basedOn w:val="VarsaylanParagrafYazTipi"/>
    <w:link w:val="KonuBal"/>
    <w:uiPriority w:val="10"/>
    <w:rsid w:val="00485E3B"/>
    <w:rPr>
      <w:rFonts w:asciiTheme="majorHAnsi" w:hAnsiTheme="majorHAnsi" w:eastAsiaTheme="majorEastAsia" w:cstheme="majorBidi"/>
      <w:noProof/>
      <w:spacing w:val="-10"/>
      <w:kern w:val="28"/>
      <w:sz w:val="56"/>
      <w:szCs w:val="56"/>
      <w:lang w:val="en-US"/>
    </w:rPr>
  </w:style>
  <w:style w:type="paragraph" w:styleId="Altyaz">
    <w:name w:val="Subtitle"/>
    <w:basedOn w:val="Normal"/>
    <w:next w:val="Normal"/>
    <w:link w:val="AltyazChar"/>
    <w:uiPriority w:val="11"/>
    <w:qFormat/>
    <w:rsid w:val="00485E3B"/>
    <w:pPr>
      <w:numPr>
        <w:ilvl w:val="1"/>
      </w:numPr>
    </w:pPr>
    <w:rPr>
      <w:rFonts w:eastAsiaTheme="majorEastAsia" w:cstheme="majorBidi"/>
      <w:color w:val="595959" w:themeColor="text1" w:themeTint="A6"/>
      <w:spacing w:val="15"/>
      <w:sz w:val="28"/>
      <w:szCs w:val="28"/>
    </w:rPr>
  </w:style>
  <w:style w:type="character" w:styleId="AltyazChar" w:customStyle="1">
    <w:name w:val="Altyazı Char"/>
    <w:basedOn w:val="VarsaylanParagrafYazTipi"/>
    <w:link w:val="Altyaz"/>
    <w:uiPriority w:val="11"/>
    <w:rsid w:val="00485E3B"/>
    <w:rPr>
      <w:rFonts w:eastAsiaTheme="majorEastAsia" w:cstheme="majorBidi"/>
      <w:noProof/>
      <w:color w:val="595959" w:themeColor="text1" w:themeTint="A6"/>
      <w:spacing w:val="15"/>
      <w:sz w:val="28"/>
      <w:szCs w:val="28"/>
      <w:lang w:val="en-US"/>
    </w:rPr>
  </w:style>
  <w:style w:type="paragraph" w:styleId="Alnt">
    <w:name w:val="Quote"/>
    <w:basedOn w:val="Normal"/>
    <w:next w:val="Normal"/>
    <w:link w:val="AlntChar"/>
    <w:uiPriority w:val="29"/>
    <w:qFormat/>
    <w:rsid w:val="00485E3B"/>
    <w:pPr>
      <w:spacing w:before="160"/>
      <w:jc w:val="center"/>
    </w:pPr>
    <w:rPr>
      <w:i/>
      <w:iCs/>
      <w:color w:val="404040" w:themeColor="text1" w:themeTint="BF"/>
    </w:rPr>
  </w:style>
  <w:style w:type="character" w:styleId="AlntChar" w:customStyle="1">
    <w:name w:val="Alıntı Char"/>
    <w:basedOn w:val="VarsaylanParagrafYazTipi"/>
    <w:link w:val="Alnt"/>
    <w:uiPriority w:val="29"/>
    <w:rsid w:val="00485E3B"/>
    <w:rPr>
      <w:i/>
      <w:iCs/>
      <w:noProof/>
      <w:color w:val="404040" w:themeColor="text1" w:themeTint="BF"/>
      <w:lang w:val="en-US"/>
    </w:rPr>
  </w:style>
  <w:style w:type="paragraph" w:styleId="ListeParagraf">
    <w:name w:val="List Paragraph"/>
    <w:basedOn w:val="Normal"/>
    <w:uiPriority w:val="34"/>
    <w:qFormat/>
    <w:rsid w:val="00485E3B"/>
    <w:pPr>
      <w:ind w:left="720"/>
      <w:contextualSpacing/>
    </w:pPr>
  </w:style>
  <w:style w:type="character" w:styleId="GlVurgulama">
    <w:name w:val="Intense Emphasis"/>
    <w:basedOn w:val="VarsaylanParagrafYazTipi"/>
    <w:uiPriority w:val="21"/>
    <w:qFormat/>
    <w:rsid w:val="00485E3B"/>
    <w:rPr>
      <w:i/>
      <w:iCs/>
      <w:color w:val="0F4761" w:themeColor="accent1" w:themeShade="BF"/>
    </w:rPr>
  </w:style>
  <w:style w:type="paragraph" w:styleId="GlAlnt">
    <w:name w:val="Intense Quote"/>
    <w:basedOn w:val="Normal"/>
    <w:next w:val="Normal"/>
    <w:link w:val="GlAlntChar"/>
    <w:uiPriority w:val="30"/>
    <w:qFormat/>
    <w:rsid w:val="00485E3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GlAlntChar" w:customStyle="1">
    <w:name w:val="Güçlü Alıntı Char"/>
    <w:basedOn w:val="VarsaylanParagrafYazTipi"/>
    <w:link w:val="GlAlnt"/>
    <w:uiPriority w:val="30"/>
    <w:rsid w:val="00485E3B"/>
    <w:rPr>
      <w:i/>
      <w:iCs/>
      <w:noProof/>
      <w:color w:val="0F4761" w:themeColor="accent1" w:themeShade="BF"/>
      <w:lang w:val="en-US"/>
    </w:rPr>
  </w:style>
  <w:style w:type="character" w:styleId="GlBavuru">
    <w:name w:val="Intense Reference"/>
    <w:basedOn w:val="VarsaylanParagrafYazTipi"/>
    <w:uiPriority w:val="32"/>
    <w:qFormat/>
    <w:rsid w:val="00485E3B"/>
    <w:rPr>
      <w:b/>
      <w:bCs/>
      <w:smallCaps/>
      <w:color w:val="0F4761" w:themeColor="accent1" w:themeShade="BF"/>
      <w:spacing w:val="5"/>
    </w:rPr>
  </w:style>
  <w:style w:type="paragraph" w:styleId="paragraph" w:customStyle="1">
    <w:name w:val="paragraph"/>
    <w:basedOn w:val="Normal"/>
    <w:rsid w:val="00C234F3"/>
    <w:pPr>
      <w:spacing w:before="100" w:beforeAutospacing="1" w:after="100" w:afterAutospacing="1" w:line="240" w:lineRule="auto"/>
    </w:pPr>
    <w:rPr>
      <w:rFonts w:ascii="Times New Roman" w:hAnsi="Times New Roman" w:eastAsia="Times New Roman" w:cs="Times New Roman"/>
      <w:noProof w:val="0"/>
      <w:kern w:val="0"/>
      <w:sz w:val="24"/>
      <w:szCs w:val="24"/>
      <w:lang w:val="tr-TR" w:eastAsia="tr-TR"/>
      <w14:ligatures w14:val="none"/>
    </w:rPr>
  </w:style>
  <w:style w:type="character" w:styleId="normaltextrun" w:customStyle="1">
    <w:name w:val="normaltextrun"/>
    <w:basedOn w:val="VarsaylanParagrafYazTipi"/>
    <w:rsid w:val="00C234F3"/>
  </w:style>
  <w:style w:type="character" w:styleId="eop" w:customStyle="1">
    <w:name w:val="eop"/>
    <w:basedOn w:val="VarsaylanParagrafYazTipi"/>
    <w:rsid w:val="00C234F3"/>
  </w:style>
  <w:style w:type="character" w:styleId="scxw153620330" w:customStyle="1">
    <w:name w:val="scxw153620330"/>
    <w:basedOn w:val="VarsaylanParagrafYazTipi"/>
    <w:rsid w:val="007A2FA6"/>
  </w:style>
  <w:style w:type="character" w:styleId="scxw58848664" w:customStyle="1">
    <w:name w:val="scxw58848664"/>
    <w:basedOn w:val="VarsaylanParagrafYazTipi"/>
    <w:rsid w:val="007A2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microsoft.com/office/2020/10/relationships/intelligence" Target="intelligence2.xml" Id="R33a533bb6e4347ea" /></Relationships>
</file>

<file path=word/theme/theme1.xml><?xml version="1.0" encoding="utf-8"?>
<a:theme xmlns:a="http://schemas.openxmlformats.org/drawingml/2006/main" xmlns:thm15="http://schemas.microsoft.com/office/thememl/2012/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D936B7-1A95-4F29-93C5-E49E514DAD7B}">
  <ds:schemaRefs>
    <ds:schemaRef ds:uri="http://schemas.microsoft.com/office/2006/metadata/properties"/>
    <ds:schemaRef ds:uri="http://schemas.microsoft.com/office/infopath/2007/PartnerControls"/>
    <ds:schemaRef ds:uri="008e3b87-2b6f-4754-91c5-38b6e71c06dc"/>
    <ds:schemaRef ds:uri="a40ce3ce-1b1e-4805-af8a-69f5481a4fc0"/>
  </ds:schemaRefs>
</ds:datastoreItem>
</file>

<file path=customXml/itemProps2.xml><?xml version="1.0" encoding="utf-8"?>
<ds:datastoreItem xmlns:ds="http://schemas.openxmlformats.org/officeDocument/2006/customXml" ds:itemID="{554BB08A-2730-4604-8AF7-4C70874F9ED2}">
  <ds:schemaRefs>
    <ds:schemaRef ds:uri="http://schemas.microsoft.com/sharepoint/v3/contenttype/forms"/>
  </ds:schemaRefs>
</ds:datastoreItem>
</file>

<file path=customXml/itemProps3.xml><?xml version="1.0" encoding="utf-8"?>
<ds:datastoreItem xmlns:ds="http://schemas.openxmlformats.org/officeDocument/2006/customXml" ds:itemID="{4B042BA6-5236-4723-987E-612B0F070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8e3b87-2b6f-4754-91c5-38b6e71c06dc"/>
    <ds:schemaRef ds:uri="a40ce3ce-1b1e-4805-af8a-69f5481a4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EGE</dc:creator>
  <keywords/>
  <dc:description/>
  <lastModifiedBy>Ezgi  Oprukçu</lastModifiedBy>
  <revision>10</revision>
  <dcterms:created xsi:type="dcterms:W3CDTF">2026-04-17T12:00:00.0000000Z</dcterms:created>
  <dcterms:modified xsi:type="dcterms:W3CDTF">2026-05-08T13:15:58.8198896Z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y fmtid="{D5CDD505-2E9C-101B-9397-08002B2CF9AE}" pid="3" name="MediaServiceImageTags">
    <vt:lpwstr/>
  </property>
</Properties>
</file>